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0E73F" w14:textId="77777777" w:rsidR="00594523" w:rsidRDefault="0000198D">
      <w:pPr>
        <w:adjustRightInd w:val="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</w:t>
      </w:r>
    </w:p>
    <w:p w14:paraId="01340B78" w14:textId="77777777" w:rsidR="00594523" w:rsidRDefault="0000198D">
      <w:pPr>
        <w:widowControl/>
        <w:spacing w:line="800" w:lineRule="atLeast"/>
        <w:jc w:val="center"/>
        <w:rPr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招</w:t>
      </w:r>
      <w:r>
        <w:rPr>
          <w:b/>
          <w:bCs/>
          <w:kern w:val="0"/>
          <w:sz w:val="44"/>
          <w:szCs w:val="44"/>
        </w:rPr>
        <w:t xml:space="preserve"> </w:t>
      </w:r>
      <w:r>
        <w:rPr>
          <w:b/>
          <w:bCs/>
          <w:kern w:val="0"/>
          <w:sz w:val="44"/>
          <w:szCs w:val="44"/>
        </w:rPr>
        <w:t>标</w:t>
      </w:r>
      <w:r>
        <w:rPr>
          <w:b/>
          <w:bCs/>
          <w:kern w:val="0"/>
          <w:sz w:val="44"/>
          <w:szCs w:val="44"/>
        </w:rPr>
        <w:t xml:space="preserve"> </w:t>
      </w:r>
      <w:r>
        <w:rPr>
          <w:b/>
          <w:bCs/>
          <w:kern w:val="0"/>
          <w:sz w:val="44"/>
          <w:szCs w:val="44"/>
        </w:rPr>
        <w:t>公</w:t>
      </w:r>
      <w:r>
        <w:rPr>
          <w:b/>
          <w:bCs/>
          <w:kern w:val="0"/>
          <w:sz w:val="44"/>
          <w:szCs w:val="44"/>
        </w:rPr>
        <w:t xml:space="preserve"> </w:t>
      </w:r>
      <w:r>
        <w:rPr>
          <w:b/>
          <w:bCs/>
          <w:kern w:val="0"/>
          <w:sz w:val="44"/>
          <w:szCs w:val="44"/>
        </w:rPr>
        <w:t>告</w:t>
      </w:r>
    </w:p>
    <w:p w14:paraId="44A8BB2F" w14:textId="463066CB" w:rsidR="00594523" w:rsidRDefault="0000198D">
      <w:pPr>
        <w:widowControl/>
        <w:spacing w:line="800" w:lineRule="atLeast"/>
        <w:ind w:firstLine="480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灵璧县</w:t>
      </w:r>
      <w:proofErr w:type="gramStart"/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建投要素港设计</w:t>
      </w:r>
      <w:proofErr w:type="gramEnd"/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采购施工总承包项目</w:t>
      </w:r>
      <w:r>
        <w:rPr>
          <w:kern w:val="0"/>
          <w:sz w:val="24"/>
        </w:rPr>
        <w:t>工程由中国</w:t>
      </w:r>
      <w:proofErr w:type="gramStart"/>
      <w:r>
        <w:rPr>
          <w:kern w:val="0"/>
          <w:sz w:val="24"/>
        </w:rPr>
        <w:t>一</w:t>
      </w:r>
      <w:proofErr w:type="gramEnd"/>
      <w:r>
        <w:rPr>
          <w:kern w:val="0"/>
          <w:sz w:val="24"/>
        </w:rPr>
        <w:t>冶集团有限公司承建，现对该工程的</w:t>
      </w:r>
      <w:r w:rsidR="009577E9">
        <w:rPr>
          <w:rFonts w:hint="eastAsia"/>
          <w:kern w:val="0"/>
          <w:sz w:val="24"/>
          <w:u w:val="single"/>
        </w:rPr>
        <w:t>模板脚手架</w:t>
      </w:r>
      <w:r>
        <w:rPr>
          <w:rFonts w:hint="eastAsia"/>
          <w:kern w:val="0"/>
          <w:sz w:val="24"/>
          <w:u w:val="single"/>
        </w:rPr>
        <w:t>专业分包</w:t>
      </w:r>
      <w:r>
        <w:rPr>
          <w:kern w:val="0"/>
          <w:sz w:val="24"/>
        </w:rPr>
        <w:t>工程进行施工招标。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828"/>
        <w:gridCol w:w="8532"/>
      </w:tblGrid>
      <w:tr w:rsidR="00594523" w14:paraId="092F51A7" w14:textId="77777777"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1C395" w14:textId="77777777" w:rsidR="00594523" w:rsidRDefault="0000198D">
            <w:pPr>
              <w:widowControl/>
              <w:spacing w:line="800" w:lineRule="atLeast"/>
              <w:jc w:val="center"/>
              <w:rPr>
                <w:spacing w:val="-18"/>
                <w:kern w:val="0"/>
                <w:sz w:val="24"/>
              </w:rPr>
            </w:pPr>
            <w:r>
              <w:rPr>
                <w:spacing w:val="-18"/>
                <w:kern w:val="0"/>
                <w:sz w:val="24"/>
              </w:rPr>
              <w:t>序号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58F156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内容规定</w:t>
            </w:r>
          </w:p>
        </w:tc>
      </w:tr>
      <w:tr w:rsidR="00594523" w14:paraId="4E64BAA4" w14:textId="77777777"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C2C3C" w14:textId="77777777" w:rsidR="00594523" w:rsidRDefault="0000198D">
            <w:pPr>
              <w:widowControl/>
              <w:spacing w:line="800" w:lineRule="atLeast"/>
              <w:jc w:val="center"/>
              <w:rPr>
                <w:spacing w:val="-18"/>
                <w:kern w:val="0"/>
                <w:sz w:val="24"/>
              </w:rPr>
            </w:pPr>
            <w:r>
              <w:rPr>
                <w:spacing w:val="-18"/>
                <w:kern w:val="0"/>
                <w:sz w:val="24"/>
              </w:rPr>
              <w:t>1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619FF52" w14:textId="77777777" w:rsidR="00594523" w:rsidRDefault="0000198D">
            <w:pPr>
              <w:widowControl/>
              <w:spacing w:line="800" w:lineRule="atLeast"/>
              <w:rPr>
                <w:spacing w:val="-18"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招标人名称：</w:t>
            </w:r>
            <w:r>
              <w:rPr>
                <w:rFonts w:ascii="宋体" w:hAnsi="宋体" w:hint="eastAsia"/>
                <w:sz w:val="24"/>
              </w:rPr>
              <w:t>中国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冶</w:t>
            </w:r>
            <w:r>
              <w:rPr>
                <w:rFonts w:ascii="宋体" w:hAnsi="宋体"/>
                <w:sz w:val="24"/>
              </w:rPr>
              <w:t>集团有限公司</w:t>
            </w:r>
            <w:r>
              <w:rPr>
                <w:rFonts w:ascii="宋体" w:hAnsi="宋体" w:hint="eastAsia"/>
                <w:sz w:val="24"/>
              </w:rPr>
              <w:t>上海</w:t>
            </w:r>
            <w:r>
              <w:rPr>
                <w:rFonts w:ascii="宋体" w:hAnsi="宋体"/>
                <w:sz w:val="24"/>
              </w:rPr>
              <w:t>分公司</w:t>
            </w:r>
          </w:p>
        </w:tc>
      </w:tr>
      <w:tr w:rsidR="00594523" w14:paraId="27EEDEE9" w14:textId="77777777">
        <w:trPr>
          <w:trHeight w:val="4409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8F4DB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  <w:p w14:paraId="34B62FC7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</w:t>
            </w:r>
          </w:p>
          <w:p w14:paraId="4C53C44D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</w:t>
            </w:r>
          </w:p>
          <w:p w14:paraId="449EA41A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</w:t>
            </w:r>
          </w:p>
          <w:p w14:paraId="150A4307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</w:t>
            </w:r>
          </w:p>
          <w:p w14:paraId="45BA2541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113413EB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15ECE807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3C8E1D39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303F4E4" w14:textId="77777777" w:rsidR="00594523" w:rsidRDefault="0000198D">
            <w:pPr>
              <w:widowControl/>
              <w:spacing w:line="800" w:lineRule="atLeast"/>
              <w:rPr>
                <w:color w:val="000000" w:themeColor="text1"/>
                <w:kern w:val="0"/>
                <w:sz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</w:rPr>
              <w:t>工程综合说明</w:t>
            </w:r>
          </w:p>
          <w:p w14:paraId="39D698DC" w14:textId="54D810A6" w:rsidR="00594523" w:rsidRDefault="0000198D">
            <w:pPr>
              <w:widowControl/>
              <w:spacing w:line="800" w:lineRule="atLeast"/>
              <w:ind w:left="1200" w:hanging="120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</w:rPr>
              <w:t>工程名称：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灵璧县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建投要素港设计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采购施工总承包项目</w:t>
            </w:r>
            <w:r w:rsidR="009577E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模板脚手架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专业分包工程</w:t>
            </w:r>
          </w:p>
          <w:p w14:paraId="78B2F514" w14:textId="77777777" w:rsidR="00594523" w:rsidRDefault="0000198D">
            <w:pPr>
              <w:widowControl/>
              <w:spacing w:line="800" w:lineRule="atLeast"/>
              <w:ind w:left="1200" w:hanging="1200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</w:rPr>
              <w:t>建设地址：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安徽省灵璧县县政府西侧，迎宾大道东侧，钟灵大道北侧。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 xml:space="preserve">                                                  </w:t>
            </w:r>
          </w:p>
          <w:p w14:paraId="0470F336" w14:textId="259A9F4D" w:rsidR="00594523" w:rsidRPr="00976F2B" w:rsidRDefault="0000198D">
            <w:pPr>
              <w:widowControl/>
              <w:spacing w:line="800" w:lineRule="atLeast"/>
              <w:ind w:left="1200" w:hanging="1200"/>
              <w:rPr>
                <w:rFonts w:ascii="仿宋" w:eastAsia="仿宋" w:hAnsi="仿宋" w:cs="仿宋"/>
                <w:b/>
                <w:bCs/>
                <w:color w:val="000000" w:themeColor="text1"/>
                <w:spacing w:val="-18"/>
                <w:kern w:val="0"/>
                <w:sz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</w:rPr>
              <w:t>工程规模</w:t>
            </w:r>
            <w:r w:rsidRPr="00976F2B">
              <w:rPr>
                <w:b/>
                <w:bCs/>
                <w:color w:val="000000" w:themeColor="text1"/>
                <w:kern w:val="0"/>
                <w:sz w:val="24"/>
              </w:rPr>
              <w:t>：</w:t>
            </w:r>
            <w:r w:rsidRPr="00976F2B"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18"/>
                <w:kern w:val="0"/>
                <w:sz w:val="24"/>
              </w:rPr>
              <w:t>灵璧县</w:t>
            </w:r>
            <w:proofErr w:type="gramStart"/>
            <w:r w:rsidRPr="00976F2B"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18"/>
                <w:kern w:val="0"/>
                <w:sz w:val="24"/>
              </w:rPr>
              <w:t>建投要素港设计</w:t>
            </w:r>
            <w:proofErr w:type="gramEnd"/>
            <w:r w:rsidRPr="00976F2B"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18"/>
                <w:kern w:val="0"/>
                <w:sz w:val="24"/>
              </w:rPr>
              <w:t>采购施工总承包项目范围内的</w:t>
            </w:r>
            <w:r w:rsidR="009577E9"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18"/>
                <w:kern w:val="0"/>
                <w:sz w:val="24"/>
              </w:rPr>
              <w:t>模板脚手架</w:t>
            </w:r>
            <w:r w:rsidRPr="00976F2B"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18"/>
                <w:kern w:val="0"/>
                <w:sz w:val="24"/>
              </w:rPr>
              <w:t>工程施工。</w:t>
            </w:r>
            <w:r w:rsidRPr="00976F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 xml:space="preserve">                                        </w:t>
            </w:r>
            <w:r w:rsidRPr="00976F2B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</w:p>
          <w:p w14:paraId="7C2F044E" w14:textId="77777777" w:rsidR="00594523" w:rsidRDefault="0000198D">
            <w:pPr>
              <w:widowControl/>
              <w:spacing w:line="800" w:lineRule="atLeast"/>
              <w:ind w:left="1200" w:hanging="1200"/>
              <w:rPr>
                <w:color w:val="000000" w:themeColor="text1"/>
                <w:kern w:val="0"/>
                <w:sz w:val="24"/>
              </w:rPr>
            </w:pPr>
            <w:r w:rsidRPr="00976F2B">
              <w:rPr>
                <w:b/>
                <w:bCs/>
                <w:color w:val="000000" w:themeColor="text1"/>
                <w:kern w:val="0"/>
                <w:sz w:val="24"/>
              </w:rPr>
              <w:t>工程质量标准：</w:t>
            </w:r>
            <w:r w:rsidRPr="00976F2B">
              <w:rPr>
                <w:rFonts w:hint="eastAsia"/>
                <w:color w:val="000000" w:themeColor="text1"/>
                <w:kern w:val="0"/>
                <w:sz w:val="24"/>
              </w:rPr>
              <w:t>施工满足设计及有关规范要求，竣工移交验收质量评定为合格。工程质量及施工用的材料必须符合国家现行验收规范要求、地方政府建设行政主管部门相关文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件规定和验收规范要求，所采取的一切保证安全和质量的施工费用为一次性报价，后期不再增加。</w:t>
            </w:r>
          </w:p>
          <w:p w14:paraId="32C50C30" w14:textId="22A18720" w:rsidR="00594523" w:rsidRDefault="0000198D">
            <w:pPr>
              <w:widowControl/>
              <w:spacing w:line="800" w:lineRule="atLeast"/>
              <w:rPr>
                <w:color w:val="000000" w:themeColor="text1"/>
                <w:kern w:val="0"/>
                <w:sz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</w:rPr>
              <w:t>工期要求：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工期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9577E9">
              <w:rPr>
                <w:color w:val="000000" w:themeColor="text1"/>
                <w:kern w:val="0"/>
                <w:sz w:val="24"/>
                <w:u w:val="single"/>
              </w:rPr>
              <w:t>300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日历天，具体工期需满足现场实际要求。</w:t>
            </w:r>
          </w:p>
          <w:p w14:paraId="4C715DFC" w14:textId="463F2F24" w:rsidR="00594523" w:rsidRDefault="0000198D">
            <w:pPr>
              <w:widowControl/>
              <w:spacing w:line="800" w:lineRule="atLeast"/>
              <w:ind w:firstLineChars="500" w:firstLine="120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计划开工日期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202</w:t>
            </w:r>
            <w:r w:rsidR="009577E9">
              <w:rPr>
                <w:color w:val="000000" w:themeColor="text1"/>
                <w:kern w:val="0"/>
                <w:sz w:val="24"/>
                <w:u w:val="single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 w:rsidR="009577E9">
              <w:rPr>
                <w:color w:val="000000" w:themeColor="text1"/>
                <w:kern w:val="0"/>
                <w:sz w:val="24"/>
                <w:u w:val="single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 w:rsidR="009577E9">
              <w:rPr>
                <w:color w:val="000000" w:themeColor="text1"/>
                <w:kern w:val="0"/>
                <w:sz w:val="24"/>
                <w:u w:val="single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日（具体以开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4"/>
              </w:rPr>
              <w:t>工令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4"/>
              </w:rPr>
              <w:t>为准）；</w:t>
            </w:r>
          </w:p>
          <w:p w14:paraId="342F7081" w14:textId="5C85F729" w:rsidR="00594523" w:rsidRDefault="0000198D">
            <w:pPr>
              <w:widowControl/>
              <w:spacing w:line="800" w:lineRule="atLeast"/>
              <w:ind w:firstLineChars="500" w:firstLine="120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计划竣工日期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202</w:t>
            </w:r>
            <w:r>
              <w:rPr>
                <w:color w:val="000000" w:themeColor="text1"/>
                <w:kern w:val="0"/>
                <w:sz w:val="24"/>
                <w:u w:val="single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9577E9">
              <w:rPr>
                <w:color w:val="000000" w:themeColor="text1"/>
                <w:kern w:val="0"/>
                <w:sz w:val="24"/>
                <w:u w:val="single"/>
              </w:rPr>
              <w:t>11</w:t>
            </w:r>
            <w:r>
              <w:rPr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 w:rsidR="009577E9">
              <w:rPr>
                <w:color w:val="000000" w:themeColor="text1"/>
                <w:kern w:val="0"/>
                <w:sz w:val="24"/>
                <w:u w:val="single"/>
              </w:rPr>
              <w:t>28</w:t>
            </w:r>
            <w:r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日；</w:t>
            </w:r>
          </w:p>
          <w:p w14:paraId="1AFBC42E" w14:textId="77777777" w:rsidR="00594523" w:rsidRDefault="0000198D">
            <w:pPr>
              <w:widowControl/>
              <w:spacing w:line="800" w:lineRule="atLeas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lastRenderedPageBreak/>
              <w:t>工期必须满足招标人对建设单位承诺的工期。施工进度及时间节点必须满足招标人现场项目部要求；投标人需提供满足工期要求的施工材料及作业人员的要求。</w:t>
            </w:r>
          </w:p>
          <w:p w14:paraId="47A1DED8" w14:textId="77777777" w:rsidR="00594523" w:rsidRDefault="0000198D">
            <w:pPr>
              <w:widowControl/>
              <w:spacing w:line="800" w:lineRule="atLeas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施工过程中如有因招标人或建设单位原因发生的延期，投标人必须及时提出并做好记录和保留书面证据，否则总工期不予顺延。若因投标人原因不能满足工期要求的，每拖期一天按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元计罚。</w:t>
            </w:r>
          </w:p>
        </w:tc>
      </w:tr>
      <w:tr w:rsidR="00594523" w14:paraId="64305125" w14:textId="77777777">
        <w:trPr>
          <w:trHeight w:val="1827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A4D57" w14:textId="77777777" w:rsidR="00594523" w:rsidRDefault="0000198D">
            <w:pPr>
              <w:widowControl/>
              <w:spacing w:line="800" w:lineRule="atLeast"/>
              <w:ind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3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A5BB06" w14:textId="5DFFF60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招标范围：</w:t>
            </w:r>
            <w:r w:rsidR="009577E9">
              <w:rPr>
                <w:rFonts w:hint="eastAsia"/>
                <w:kern w:val="0"/>
                <w:sz w:val="24"/>
              </w:rPr>
              <w:t>模板脚手架</w:t>
            </w:r>
            <w:r>
              <w:rPr>
                <w:rFonts w:hint="eastAsia"/>
                <w:kern w:val="0"/>
                <w:sz w:val="24"/>
              </w:rPr>
              <w:t>专业分包工程。</w:t>
            </w:r>
          </w:p>
          <w:p w14:paraId="4504CCC4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spacing w:val="-18"/>
                <w:kern w:val="0"/>
                <w:sz w:val="24"/>
              </w:rPr>
              <w:t>本次工程招标分为</w:t>
            </w:r>
            <w:r>
              <w:rPr>
                <w:spacing w:val="-18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18"/>
                <w:kern w:val="0"/>
                <w:sz w:val="24"/>
                <w:u w:val="single"/>
              </w:rPr>
              <w:t>1</w:t>
            </w:r>
            <w:r>
              <w:rPr>
                <w:spacing w:val="-18"/>
                <w:kern w:val="0"/>
                <w:sz w:val="24"/>
                <w:u w:val="single"/>
              </w:rPr>
              <w:t xml:space="preserve"> </w:t>
            </w:r>
            <w:proofErr w:type="gramStart"/>
            <w:r>
              <w:rPr>
                <w:spacing w:val="-18"/>
                <w:kern w:val="0"/>
                <w:sz w:val="24"/>
              </w:rPr>
              <w:t>个</w:t>
            </w:r>
            <w:proofErr w:type="gramEnd"/>
            <w:r>
              <w:rPr>
                <w:spacing w:val="-18"/>
                <w:kern w:val="0"/>
                <w:sz w:val="24"/>
              </w:rPr>
              <w:t>标段招标施工</w:t>
            </w:r>
            <w:r>
              <w:rPr>
                <w:kern w:val="0"/>
                <w:sz w:val="24"/>
              </w:rPr>
              <w:t>（详见招标文件）</w:t>
            </w:r>
            <w:r>
              <w:rPr>
                <w:spacing w:val="-18"/>
                <w:kern w:val="0"/>
                <w:sz w:val="24"/>
              </w:rPr>
              <w:t>。</w:t>
            </w:r>
          </w:p>
        </w:tc>
      </w:tr>
      <w:tr w:rsidR="00594523" w14:paraId="34356A7E" w14:textId="77777777">
        <w:trPr>
          <w:trHeight w:val="1407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5DF65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77EF31" w14:textId="50411101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承包方式：</w:t>
            </w:r>
            <w:r w:rsidR="009577E9">
              <w:rPr>
                <w:rFonts w:hint="eastAsia"/>
                <w:kern w:val="0"/>
                <w:sz w:val="24"/>
              </w:rPr>
              <w:t>模板脚手架</w:t>
            </w:r>
            <w:r>
              <w:rPr>
                <w:rFonts w:hint="eastAsia"/>
                <w:kern w:val="0"/>
                <w:sz w:val="24"/>
              </w:rPr>
              <w:t>专业分包工程为专业分包。招标人与中标单位签订专业分包合同。招标人提供的材料见备注栏，除此之外的材料由投标人提供，费用含在综合单价中，但采购前必须得到招标人的认可。</w:t>
            </w:r>
          </w:p>
          <w:p w14:paraId="7E203245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主材供应方式具体见招标工程量清单。</w:t>
            </w:r>
          </w:p>
        </w:tc>
      </w:tr>
      <w:tr w:rsidR="00594523" w14:paraId="40258F3D" w14:textId="77777777">
        <w:trPr>
          <w:trHeight w:val="1041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32D22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1298DD" w14:textId="6B11851D" w:rsidR="00594523" w:rsidRPr="00ED1857" w:rsidRDefault="0000198D" w:rsidP="00ED1857">
            <w:pPr>
              <w:widowControl/>
              <w:spacing w:line="800" w:lineRule="atLeast"/>
              <w:rPr>
                <w:b/>
                <w:bCs/>
                <w:kern w:val="0"/>
                <w:sz w:val="24"/>
              </w:rPr>
            </w:pPr>
            <w:r w:rsidRPr="00ED1857">
              <w:rPr>
                <w:b/>
                <w:bCs/>
                <w:kern w:val="0"/>
                <w:sz w:val="24"/>
              </w:rPr>
              <w:t>工程款（进度款）支付方式：</w:t>
            </w:r>
          </w:p>
          <w:p w14:paraId="44D0C6FF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1</w:t>
            </w:r>
            <w:r w:rsidRPr="00B6170D">
              <w:rPr>
                <w:rFonts w:hint="eastAsia"/>
                <w:kern w:val="0"/>
                <w:sz w:val="24"/>
              </w:rPr>
              <w:t>）地下室整体结构封顶且验收合格后次月付第一期工程款：</w:t>
            </w:r>
          </w:p>
          <w:p w14:paraId="186EF8DC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第一期工程款</w:t>
            </w:r>
            <w:r w:rsidRPr="00B6170D">
              <w:rPr>
                <w:rFonts w:hint="eastAsia"/>
                <w:kern w:val="0"/>
                <w:sz w:val="24"/>
              </w:rPr>
              <w:t>=</w:t>
            </w:r>
            <w:r w:rsidRPr="00B6170D">
              <w:rPr>
                <w:rFonts w:hint="eastAsia"/>
                <w:kern w:val="0"/>
                <w:sz w:val="24"/>
              </w:rPr>
              <w:t>累计验收完合格工程价款</w:t>
            </w:r>
            <w:r w:rsidRPr="00B6170D">
              <w:rPr>
                <w:rFonts w:hint="eastAsia"/>
                <w:kern w:val="0"/>
                <w:sz w:val="24"/>
              </w:rPr>
              <w:t>*60%-</w:t>
            </w:r>
            <w:r w:rsidRPr="00B6170D">
              <w:rPr>
                <w:rFonts w:hint="eastAsia"/>
                <w:kern w:val="0"/>
                <w:sz w:val="24"/>
              </w:rPr>
              <w:t>发包人及监理人签发的扣款（如有）</w:t>
            </w:r>
          </w:p>
          <w:p w14:paraId="744DC9B0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2</w:t>
            </w:r>
            <w:r w:rsidRPr="00B6170D">
              <w:rPr>
                <w:rFonts w:hint="eastAsia"/>
                <w:kern w:val="0"/>
                <w:sz w:val="24"/>
              </w:rPr>
              <w:t>）所有主楼整体结构封顶且验收合格次月付第二期工程款：</w:t>
            </w:r>
          </w:p>
          <w:p w14:paraId="673F66DC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lastRenderedPageBreak/>
              <w:t>第二期工程款</w:t>
            </w:r>
            <w:r w:rsidRPr="00B6170D">
              <w:rPr>
                <w:rFonts w:hint="eastAsia"/>
                <w:kern w:val="0"/>
                <w:sz w:val="24"/>
              </w:rPr>
              <w:t>=</w:t>
            </w:r>
            <w:r w:rsidRPr="00B6170D">
              <w:rPr>
                <w:rFonts w:hint="eastAsia"/>
                <w:kern w:val="0"/>
                <w:sz w:val="24"/>
              </w:rPr>
              <w:t>累计验收完合格工程价款</w:t>
            </w:r>
            <w:r w:rsidRPr="00B6170D">
              <w:rPr>
                <w:rFonts w:hint="eastAsia"/>
                <w:kern w:val="0"/>
                <w:sz w:val="24"/>
              </w:rPr>
              <w:t>*80%-</w:t>
            </w:r>
            <w:r w:rsidRPr="00B6170D">
              <w:rPr>
                <w:rFonts w:hint="eastAsia"/>
                <w:kern w:val="0"/>
                <w:sz w:val="24"/>
              </w:rPr>
              <w:t>前期已累计支付的所有款项</w:t>
            </w:r>
            <w:r w:rsidRPr="00B6170D">
              <w:rPr>
                <w:rFonts w:hint="eastAsia"/>
                <w:kern w:val="0"/>
                <w:sz w:val="24"/>
              </w:rPr>
              <w:t>--</w:t>
            </w:r>
            <w:r w:rsidRPr="00B6170D">
              <w:rPr>
                <w:rFonts w:hint="eastAsia"/>
                <w:kern w:val="0"/>
                <w:sz w:val="24"/>
              </w:rPr>
              <w:t>发包人及监理人签发的扣款（如有）</w:t>
            </w:r>
          </w:p>
          <w:p w14:paraId="065A04EE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3</w:t>
            </w:r>
            <w:r w:rsidRPr="00B6170D">
              <w:rPr>
                <w:rFonts w:hint="eastAsia"/>
                <w:kern w:val="0"/>
                <w:sz w:val="24"/>
              </w:rPr>
              <w:t>）所有楼栋主体结构完成，项目场外整体道路、绿化等室外总体工程完成且验收合格后次月支付第三期工程款：</w:t>
            </w:r>
          </w:p>
          <w:p w14:paraId="467BCD5E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第三期工程款</w:t>
            </w:r>
            <w:r w:rsidRPr="00B6170D">
              <w:rPr>
                <w:rFonts w:hint="eastAsia"/>
                <w:kern w:val="0"/>
                <w:sz w:val="24"/>
              </w:rPr>
              <w:t>=</w:t>
            </w:r>
            <w:r w:rsidRPr="00B6170D">
              <w:rPr>
                <w:rFonts w:hint="eastAsia"/>
                <w:kern w:val="0"/>
                <w:sz w:val="24"/>
              </w:rPr>
              <w:t>累计验收完合格工程价款</w:t>
            </w:r>
            <w:r w:rsidRPr="00B6170D">
              <w:rPr>
                <w:rFonts w:hint="eastAsia"/>
                <w:kern w:val="0"/>
                <w:sz w:val="24"/>
              </w:rPr>
              <w:t>*85%-</w:t>
            </w:r>
            <w:r w:rsidRPr="00B6170D">
              <w:rPr>
                <w:rFonts w:hint="eastAsia"/>
                <w:kern w:val="0"/>
                <w:sz w:val="24"/>
              </w:rPr>
              <w:t>前期已累计支付的所有款项</w:t>
            </w:r>
            <w:r w:rsidRPr="00B6170D">
              <w:rPr>
                <w:rFonts w:hint="eastAsia"/>
                <w:kern w:val="0"/>
                <w:sz w:val="24"/>
              </w:rPr>
              <w:t>--</w:t>
            </w:r>
            <w:r w:rsidRPr="00B6170D">
              <w:rPr>
                <w:rFonts w:hint="eastAsia"/>
                <w:kern w:val="0"/>
                <w:sz w:val="24"/>
              </w:rPr>
              <w:t>发包人及监理人签发的扣款（如有）</w:t>
            </w:r>
          </w:p>
          <w:p w14:paraId="16825DC0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4</w:t>
            </w:r>
            <w:r w:rsidRPr="00B6170D">
              <w:rPr>
                <w:rFonts w:hint="eastAsia"/>
                <w:kern w:val="0"/>
                <w:sz w:val="24"/>
              </w:rPr>
              <w:t>）结算完成后次月支付第四期工程款：</w:t>
            </w:r>
          </w:p>
          <w:p w14:paraId="225356FC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第四期工程款</w:t>
            </w:r>
            <w:r w:rsidRPr="00B6170D">
              <w:rPr>
                <w:rFonts w:hint="eastAsia"/>
                <w:kern w:val="0"/>
                <w:sz w:val="24"/>
              </w:rPr>
              <w:t>=</w:t>
            </w:r>
            <w:r w:rsidRPr="00B6170D">
              <w:rPr>
                <w:rFonts w:hint="eastAsia"/>
                <w:kern w:val="0"/>
                <w:sz w:val="24"/>
              </w:rPr>
              <w:t>结算金额</w:t>
            </w:r>
            <w:r w:rsidRPr="00B6170D">
              <w:rPr>
                <w:rFonts w:hint="eastAsia"/>
                <w:kern w:val="0"/>
                <w:sz w:val="24"/>
              </w:rPr>
              <w:t>*97%-</w:t>
            </w:r>
            <w:r w:rsidRPr="00B6170D">
              <w:rPr>
                <w:rFonts w:hint="eastAsia"/>
                <w:kern w:val="0"/>
                <w:sz w:val="24"/>
              </w:rPr>
              <w:t>前期已累计支付的所有款项</w:t>
            </w:r>
            <w:r w:rsidRPr="00B6170D">
              <w:rPr>
                <w:rFonts w:hint="eastAsia"/>
                <w:kern w:val="0"/>
                <w:sz w:val="24"/>
              </w:rPr>
              <w:t>--</w:t>
            </w:r>
            <w:r w:rsidRPr="00B6170D">
              <w:rPr>
                <w:rFonts w:hint="eastAsia"/>
                <w:kern w:val="0"/>
                <w:sz w:val="24"/>
              </w:rPr>
              <w:t>发包人及监理人签发的扣款（如有）</w:t>
            </w:r>
          </w:p>
          <w:p w14:paraId="723CB8EB" w14:textId="77777777" w:rsidR="00B6170D" w:rsidRP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5</w:t>
            </w:r>
            <w:r w:rsidRPr="00B6170D">
              <w:rPr>
                <w:rFonts w:hint="eastAsia"/>
                <w:kern w:val="0"/>
                <w:sz w:val="24"/>
              </w:rPr>
              <w:t>）实际质量保修期结束，次月支付剩余质保金（</w:t>
            </w:r>
            <w:r w:rsidRPr="00B6170D">
              <w:rPr>
                <w:rFonts w:hint="eastAsia"/>
                <w:kern w:val="0"/>
                <w:sz w:val="24"/>
              </w:rPr>
              <w:t>3%</w:t>
            </w:r>
            <w:r w:rsidRPr="00B6170D">
              <w:rPr>
                <w:rFonts w:hint="eastAsia"/>
                <w:kern w:val="0"/>
                <w:sz w:val="24"/>
              </w:rPr>
              <w:t>）</w:t>
            </w:r>
          </w:p>
          <w:p w14:paraId="26417F01" w14:textId="77777777" w:rsidR="00B6170D" w:rsidRDefault="00B6170D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质保金</w:t>
            </w:r>
            <w:r w:rsidRPr="00B6170D">
              <w:rPr>
                <w:rFonts w:hint="eastAsia"/>
                <w:kern w:val="0"/>
                <w:sz w:val="24"/>
              </w:rPr>
              <w:t>=</w:t>
            </w:r>
            <w:r w:rsidRPr="00B6170D">
              <w:rPr>
                <w:rFonts w:hint="eastAsia"/>
                <w:kern w:val="0"/>
                <w:sz w:val="24"/>
              </w:rPr>
              <w:t>结算金额</w:t>
            </w:r>
            <w:r w:rsidRPr="00B6170D">
              <w:rPr>
                <w:rFonts w:hint="eastAsia"/>
                <w:kern w:val="0"/>
                <w:sz w:val="24"/>
              </w:rPr>
              <w:t>*3%-</w:t>
            </w:r>
            <w:r w:rsidRPr="00B6170D">
              <w:rPr>
                <w:rFonts w:hint="eastAsia"/>
                <w:kern w:val="0"/>
                <w:sz w:val="24"/>
              </w:rPr>
              <w:t>委托维修扣款</w:t>
            </w:r>
            <w:r w:rsidRPr="00B6170D">
              <w:rPr>
                <w:rFonts w:hint="eastAsia"/>
                <w:kern w:val="0"/>
                <w:sz w:val="24"/>
              </w:rPr>
              <w:t>(</w:t>
            </w:r>
            <w:r w:rsidRPr="00B6170D">
              <w:rPr>
                <w:rFonts w:hint="eastAsia"/>
                <w:kern w:val="0"/>
                <w:sz w:val="24"/>
              </w:rPr>
              <w:t>如有</w:t>
            </w:r>
            <w:r w:rsidRPr="00B6170D">
              <w:rPr>
                <w:rFonts w:hint="eastAsia"/>
                <w:kern w:val="0"/>
                <w:sz w:val="24"/>
              </w:rPr>
              <w:t>)</w:t>
            </w:r>
          </w:p>
          <w:p w14:paraId="014192C7" w14:textId="6CEB9F0C" w:rsidR="00ED1857" w:rsidRPr="00ED1857" w:rsidRDefault="00ED1857" w:rsidP="00B6170D">
            <w:pPr>
              <w:snapToGrid w:val="0"/>
              <w:spacing w:line="800" w:lineRule="atLeast"/>
              <w:ind w:firstLineChars="200" w:firstLine="480"/>
              <w:jc w:val="left"/>
              <w:rPr>
                <w:kern w:val="0"/>
                <w:sz w:val="24"/>
              </w:rPr>
            </w:pPr>
            <w:r w:rsidRPr="00B6170D">
              <w:rPr>
                <w:rFonts w:hint="eastAsia"/>
                <w:kern w:val="0"/>
                <w:sz w:val="24"/>
              </w:rPr>
              <w:t>6</w:t>
            </w:r>
            <w:r w:rsidRPr="00B6170D">
              <w:rPr>
                <w:rFonts w:hint="eastAsia"/>
                <w:kern w:val="0"/>
                <w:sz w:val="24"/>
              </w:rPr>
              <w:t>）缺陷责任期</w:t>
            </w:r>
            <w:r w:rsidRPr="00B6170D">
              <w:rPr>
                <w:rFonts w:hint="eastAsia"/>
                <w:kern w:val="0"/>
                <w:sz w:val="24"/>
              </w:rPr>
              <w:t>2</w:t>
            </w:r>
            <w:r w:rsidRPr="00B6170D">
              <w:rPr>
                <w:rFonts w:hint="eastAsia"/>
                <w:kern w:val="0"/>
                <w:sz w:val="24"/>
              </w:rPr>
              <w:t>年，</w:t>
            </w:r>
            <w:proofErr w:type="gramStart"/>
            <w:r w:rsidRPr="00B6170D">
              <w:rPr>
                <w:rFonts w:hint="eastAsia"/>
                <w:kern w:val="0"/>
                <w:sz w:val="24"/>
              </w:rPr>
              <w:t>自整体</w:t>
            </w:r>
            <w:proofErr w:type="gramEnd"/>
            <w:r w:rsidRPr="00B6170D">
              <w:rPr>
                <w:rFonts w:hint="eastAsia"/>
                <w:kern w:val="0"/>
                <w:sz w:val="24"/>
              </w:rPr>
              <w:t>工程竣工验收合格之日起算。承包人支付分包人进度款的比例不超过业主支付给承包人的比例。分包人在办理工程款支付申请时，须同时提供农民工工资发放记录表，否则承包人有权拒付工程款，由项目部直接代付工人工资。</w:t>
            </w:r>
          </w:p>
          <w:p w14:paraId="44CE79DB" w14:textId="78FF48F9" w:rsidR="00594523" w:rsidRPr="00ED1857" w:rsidRDefault="00594523" w:rsidP="00ED1857">
            <w:pPr>
              <w:widowControl/>
              <w:spacing w:line="800" w:lineRule="atLeast"/>
              <w:rPr>
                <w:kern w:val="0"/>
                <w:sz w:val="24"/>
              </w:rPr>
            </w:pPr>
          </w:p>
        </w:tc>
      </w:tr>
      <w:tr w:rsidR="00594523" w14:paraId="7FE60F2F" w14:textId="77777777">
        <w:trPr>
          <w:trHeight w:val="4251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811FF" w14:textId="5A24719F" w:rsidR="00594523" w:rsidRDefault="0000198D" w:rsidP="00627F9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6</w:t>
            </w:r>
          </w:p>
          <w:p w14:paraId="05074F2A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6.1</w:t>
            </w:r>
          </w:p>
          <w:p w14:paraId="0474A48D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6.2</w:t>
            </w:r>
          </w:p>
          <w:p w14:paraId="09D961BC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738718B9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CC7096" w14:textId="56E4EA09" w:rsidR="00594523" w:rsidRDefault="0000198D">
            <w:pPr>
              <w:widowControl/>
              <w:spacing w:line="800" w:lineRule="atLeas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</w:rPr>
              <w:t>对投标人资质要求：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具有</w:t>
            </w:r>
            <w:r w:rsidR="009577E9" w:rsidRPr="009577E9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模板脚手架专业承包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资质。</w:t>
            </w:r>
          </w:p>
          <w:p w14:paraId="5E07FC3D" w14:textId="77777777" w:rsidR="00594523" w:rsidRDefault="0000198D">
            <w:pPr>
              <w:widowControl/>
              <w:spacing w:line="800" w:lineRule="atLeas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资质</w:t>
            </w:r>
            <w:r>
              <w:rPr>
                <w:rFonts w:hint="eastAsia"/>
                <w:b/>
                <w:bCs/>
                <w:kern w:val="0"/>
                <w:sz w:val="24"/>
              </w:rPr>
              <w:t>审查方式</w:t>
            </w:r>
            <w:r>
              <w:rPr>
                <w:b/>
                <w:bCs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资格预审</w:t>
            </w:r>
          </w:p>
          <w:p w14:paraId="73649084" w14:textId="5B3AE57D" w:rsidR="00594523" w:rsidRDefault="0000198D">
            <w:pPr>
              <w:widowControl/>
              <w:spacing w:line="800" w:lineRule="atLeas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投标人类似项目业绩要求：</w:t>
            </w:r>
            <w:r>
              <w:rPr>
                <w:rFonts w:hint="eastAsia"/>
                <w:kern w:val="0"/>
                <w:sz w:val="24"/>
              </w:rPr>
              <w:t>投标人近五年（</w:t>
            </w:r>
            <w:r>
              <w:rPr>
                <w:rFonts w:hint="eastAsia"/>
                <w:kern w:val="0"/>
                <w:sz w:val="24"/>
              </w:rPr>
              <w:t>201</w:t>
            </w:r>
            <w:r w:rsidR="009577E9"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至今）具有同类项目施工业绩。</w:t>
            </w:r>
          </w:p>
          <w:p w14:paraId="7409086B" w14:textId="77777777" w:rsidR="00594523" w:rsidRDefault="0000198D">
            <w:pPr>
              <w:widowControl/>
              <w:spacing w:line="800" w:lineRule="atLeas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投标人信誉要求：</w:t>
            </w:r>
          </w:p>
          <w:p w14:paraId="1994E370" w14:textId="77777777" w:rsidR="00594523" w:rsidRDefault="0000198D">
            <w:pPr>
              <w:widowControl/>
              <w:spacing w:line="8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投标人提供以上资料要求真实。如核实发现有一项虚假，取消投标资格。</w:t>
            </w:r>
          </w:p>
        </w:tc>
      </w:tr>
      <w:tr w:rsidR="00594523" w14:paraId="3A6D3B85" w14:textId="77777777">
        <w:trPr>
          <w:trHeight w:val="5091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17390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  <w:p w14:paraId="5F1B2DF5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7.1</w:t>
            </w:r>
          </w:p>
          <w:p w14:paraId="30BEF742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7.2</w:t>
            </w:r>
          </w:p>
          <w:p w14:paraId="29205DFE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59C2A9E5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7.3</w:t>
            </w:r>
          </w:p>
          <w:p w14:paraId="1BFCA11E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7.4</w:t>
            </w:r>
          </w:p>
          <w:p w14:paraId="45BDB717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1A25DA3B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7.5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31B9FD" w14:textId="77777777" w:rsidR="00594523" w:rsidRDefault="0000198D">
            <w:pPr>
              <w:widowControl/>
              <w:spacing w:line="800" w:lineRule="atLeas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报名及领取招标文件方式</w:t>
            </w:r>
          </w:p>
          <w:p w14:paraId="43B8ED5C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投标有效期：</w:t>
            </w:r>
            <w:r>
              <w:rPr>
                <w:rFonts w:hint="eastAsia"/>
                <w:kern w:val="0"/>
                <w:sz w:val="24"/>
              </w:rPr>
              <w:t>投标文件递交截止时间后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30</w:t>
            </w:r>
            <w:r>
              <w:rPr>
                <w:rFonts w:hint="eastAsia"/>
                <w:kern w:val="0"/>
                <w:sz w:val="24"/>
              </w:rPr>
              <w:t>日有效</w:t>
            </w:r>
          </w:p>
          <w:p w14:paraId="2876C315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投标文件递交截止时间：</w:t>
            </w:r>
            <w:r>
              <w:rPr>
                <w:rFonts w:hint="eastAsia"/>
                <w:kern w:val="0"/>
                <w:sz w:val="24"/>
              </w:rPr>
              <w:t>具体时间以中国五矿集团有限公司采购电子商务平台公布时间为准</w:t>
            </w:r>
          </w:p>
          <w:p w14:paraId="6F26BC3E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开标时间：</w:t>
            </w:r>
            <w:r>
              <w:rPr>
                <w:rFonts w:hint="eastAsia"/>
                <w:kern w:val="0"/>
                <w:sz w:val="24"/>
              </w:rPr>
              <w:t>具体时间以中国五矿集团有限公司采购电子商务平台公布时间为准</w:t>
            </w:r>
          </w:p>
          <w:p w14:paraId="3C107888" w14:textId="77777777" w:rsidR="00594523" w:rsidRDefault="0000198D">
            <w:pPr>
              <w:widowControl/>
              <w:spacing w:line="800" w:lineRule="atLeast"/>
              <w:ind w:left="1200" w:hanging="1200"/>
              <w:rPr>
                <w:spacing w:val="-18"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报名地点：</w:t>
            </w:r>
            <w:r>
              <w:rPr>
                <w:rFonts w:hint="eastAsia"/>
                <w:kern w:val="0"/>
                <w:sz w:val="24"/>
              </w:rPr>
              <w:t>供应商登录（</w:t>
            </w:r>
            <w:r>
              <w:rPr>
                <w:rFonts w:hint="eastAsia"/>
                <w:kern w:val="0"/>
                <w:sz w:val="24"/>
              </w:rPr>
              <w:t>http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//ec.mcc.com.cn/</w:t>
            </w:r>
            <w:r>
              <w:rPr>
                <w:rFonts w:hint="eastAsia"/>
                <w:kern w:val="0"/>
                <w:sz w:val="24"/>
              </w:rPr>
              <w:t>）填报企业相关资料行网络注册认证，通知我公司进行资审后，获取账号密码后进行报名。</w:t>
            </w:r>
          </w:p>
          <w:p w14:paraId="5EECC35C" w14:textId="77777777" w:rsidR="00594523" w:rsidRDefault="0000198D">
            <w:pPr>
              <w:widowControl/>
              <w:spacing w:line="800" w:lineRule="atLeas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评标原则：</w:t>
            </w:r>
            <w:r>
              <w:rPr>
                <w:rFonts w:hint="eastAsia"/>
                <w:kern w:val="0"/>
                <w:sz w:val="24"/>
              </w:rPr>
              <w:t>招标平台评分细则（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发现网上报价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IP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地址完全一致的，视作串标处理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  <w:p w14:paraId="3C0F84FA" w14:textId="77777777" w:rsidR="00594523" w:rsidRDefault="00594523">
            <w:pPr>
              <w:widowControl/>
              <w:spacing w:line="800" w:lineRule="atLeast"/>
              <w:rPr>
                <w:spacing w:val="-18"/>
                <w:kern w:val="0"/>
                <w:sz w:val="24"/>
              </w:rPr>
            </w:pPr>
          </w:p>
        </w:tc>
      </w:tr>
      <w:tr w:rsidR="00594523" w14:paraId="21A340FB" w14:textId="77777777">
        <w:trPr>
          <w:trHeight w:val="5751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128D9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8</w:t>
            </w:r>
          </w:p>
          <w:p w14:paraId="5AD8C3E7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8.1</w:t>
            </w:r>
          </w:p>
          <w:p w14:paraId="48E0622A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6322B8A7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4612BEE0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583179E8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7D1E8DA6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182D0761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1280C146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70835446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7944E3F5" w14:textId="77777777" w:rsidR="00594523" w:rsidRDefault="00594523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</w:p>
          <w:p w14:paraId="62EA28CF" w14:textId="77777777" w:rsidR="00594523" w:rsidRDefault="00594523">
            <w:pPr>
              <w:widowControl/>
              <w:spacing w:line="800" w:lineRule="atLeast"/>
              <w:rPr>
                <w:kern w:val="0"/>
                <w:sz w:val="24"/>
              </w:rPr>
            </w:pPr>
          </w:p>
          <w:p w14:paraId="4C2C8250" w14:textId="05807F90" w:rsidR="00594523" w:rsidRDefault="00594523">
            <w:pPr>
              <w:widowControl/>
              <w:spacing w:line="800" w:lineRule="atLeast"/>
              <w:rPr>
                <w:kern w:val="0"/>
                <w:sz w:val="24"/>
              </w:rPr>
            </w:pPr>
          </w:p>
          <w:p w14:paraId="2DAA7BCC" w14:textId="005C1BB4" w:rsidR="00976F2B" w:rsidRDefault="00976F2B" w:rsidP="00976F2B">
            <w:pPr>
              <w:pStyle w:val="TOC1"/>
            </w:pPr>
          </w:p>
          <w:p w14:paraId="689F6CA7" w14:textId="77777777" w:rsidR="00976F2B" w:rsidRPr="00976F2B" w:rsidRDefault="00976F2B" w:rsidP="00976F2B"/>
          <w:p w14:paraId="62900D3A" w14:textId="77777777" w:rsidR="00594523" w:rsidRDefault="00594523">
            <w:pPr>
              <w:widowControl/>
              <w:spacing w:line="800" w:lineRule="atLeast"/>
              <w:rPr>
                <w:kern w:val="0"/>
                <w:sz w:val="24"/>
              </w:rPr>
            </w:pPr>
          </w:p>
          <w:p w14:paraId="4B5865ED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94B189B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投标保证金及招标文件费用</w:t>
            </w:r>
          </w:p>
          <w:p w14:paraId="70FBAE2C" w14:textId="77777777" w:rsidR="00594523" w:rsidRDefault="0000198D">
            <w:pPr>
              <w:widowControl/>
              <w:spacing w:line="800" w:lineRule="atLeas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投标保证金：</w:t>
            </w:r>
            <w:r>
              <w:rPr>
                <w:kern w:val="0"/>
                <w:sz w:val="24"/>
              </w:rPr>
              <w:t xml:space="preserve"> </w:t>
            </w:r>
          </w:p>
          <w:p w14:paraId="0255D336" w14:textId="1AFD7835" w:rsidR="00594523" w:rsidRDefault="000019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投标人需在开标截止时间前缴纳投标保证金人民币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贰</w:t>
            </w:r>
            <w:r>
              <w:rPr>
                <w:rFonts w:ascii="宋体" w:hAnsi="宋体" w:hint="eastAsia"/>
                <w:color w:val="000000"/>
                <w:sz w:val="24"/>
              </w:rPr>
              <w:t>万元（人民币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000</w:t>
            </w:r>
            <w:r>
              <w:rPr>
                <w:rFonts w:ascii="宋体" w:hAnsi="宋体" w:hint="eastAsia"/>
                <w:color w:val="000000"/>
                <w:sz w:val="24"/>
              </w:rPr>
              <w:t>元）</w:t>
            </w:r>
            <w:r>
              <w:rPr>
                <w:rFonts w:ascii="宋体" w:hAnsi="宋体" w:hint="eastAsia"/>
                <w:sz w:val="24"/>
              </w:rPr>
              <w:t>。开标前必须获得招标人财务的投标保证金到账确认，投</w:t>
            </w:r>
            <w:r>
              <w:rPr>
                <w:rFonts w:ascii="宋体" w:hAnsi="宋体"/>
                <w:sz w:val="24"/>
              </w:rPr>
              <w:t>标单位缴纳投标保证金</w:t>
            </w:r>
            <w:r>
              <w:rPr>
                <w:rFonts w:ascii="宋体" w:hAnsi="宋体" w:hint="eastAsia"/>
                <w:sz w:val="24"/>
              </w:rPr>
              <w:t>时应</w:t>
            </w:r>
            <w:r>
              <w:rPr>
                <w:rFonts w:ascii="宋体" w:hAnsi="宋体"/>
                <w:b/>
                <w:sz w:val="24"/>
              </w:rPr>
              <w:t>注明</w:t>
            </w:r>
            <w:r>
              <w:rPr>
                <w:rFonts w:ascii="宋体" w:hAnsi="宋体" w:hint="eastAsia"/>
                <w:b/>
                <w:sz w:val="24"/>
              </w:rPr>
              <w:t>所</w:t>
            </w:r>
            <w:r>
              <w:rPr>
                <w:rFonts w:ascii="宋体" w:hAnsi="宋体"/>
                <w:b/>
                <w:sz w:val="24"/>
              </w:rPr>
              <w:t>投工程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  <w:r>
              <w:rPr>
                <w:rFonts w:ascii="宋体" w:hAnsi="宋体"/>
                <w:b/>
                <w:sz w:val="24"/>
              </w:rPr>
              <w:t>，如：</w:t>
            </w:r>
            <w:r>
              <w:rPr>
                <w:rFonts w:ascii="宋体" w:hAnsi="宋体" w:hint="eastAsia"/>
                <w:b/>
                <w:sz w:val="24"/>
              </w:rPr>
              <w:t>灵璧县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建投要素港设计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采购施工总承包项目</w:t>
            </w:r>
            <w:r w:rsidR="009577E9">
              <w:rPr>
                <w:rFonts w:ascii="宋体" w:hAnsi="宋体" w:hint="eastAsia"/>
                <w:b/>
                <w:sz w:val="24"/>
              </w:rPr>
              <w:t>模板脚手架</w:t>
            </w:r>
            <w:r>
              <w:rPr>
                <w:rFonts w:ascii="宋体" w:hAnsi="宋体" w:hint="eastAsia"/>
                <w:b/>
                <w:sz w:val="24"/>
              </w:rPr>
              <w:t>专业分包工程</w:t>
            </w:r>
            <w:r>
              <w:rPr>
                <w:rFonts w:ascii="宋体" w:hAnsi="宋体"/>
                <w:b/>
                <w:sz w:val="24"/>
              </w:rPr>
              <w:t>投标保证金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投标保证金缴纳至招标人账户。</w:t>
            </w:r>
            <w:r>
              <w:rPr>
                <w:rFonts w:ascii="宋体" w:hAnsi="宋体" w:hint="eastAsia"/>
                <w:sz w:val="24"/>
              </w:rPr>
              <w:t>招标人账户信息如下：账户名称：</w:t>
            </w:r>
            <w:r>
              <w:rPr>
                <w:rFonts w:ascii="宋体" w:hAnsi="宋体" w:hint="eastAsia"/>
                <w:sz w:val="24"/>
                <w:u w:val="single"/>
              </w:rPr>
              <w:t>中国</w:t>
            </w:r>
            <w:proofErr w:type="gramStart"/>
            <w:r>
              <w:rPr>
                <w:rFonts w:ascii="宋体" w:hAnsi="宋体" w:hint="eastAsia"/>
                <w:sz w:val="24"/>
                <w:u w:val="single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>冶集团有限公司上海分公司</w:t>
            </w:r>
            <w:r>
              <w:rPr>
                <w:rFonts w:ascii="宋体" w:hAnsi="宋体" w:hint="eastAsia"/>
                <w:sz w:val="24"/>
              </w:rPr>
              <w:t>，账号：</w:t>
            </w:r>
            <w:r>
              <w:rPr>
                <w:rFonts w:ascii="宋体" w:hAnsi="宋体"/>
                <w:sz w:val="24"/>
                <w:u w:val="single"/>
              </w:rPr>
              <w:t>31001560100050003545</w:t>
            </w:r>
            <w:r>
              <w:rPr>
                <w:rFonts w:ascii="宋体" w:hAnsi="宋体" w:hint="eastAsia"/>
                <w:sz w:val="24"/>
              </w:rPr>
              <w:t>，开户行：</w:t>
            </w:r>
            <w:r>
              <w:rPr>
                <w:rFonts w:ascii="宋体" w:hAnsi="宋体" w:hint="eastAsia"/>
                <w:sz w:val="24"/>
                <w:u w:val="single"/>
              </w:rPr>
              <w:t>中国建设银行股份有限公司上海邯郸路支行</w:t>
            </w:r>
            <w:r>
              <w:rPr>
                <w:rFonts w:ascii="宋体" w:hAnsi="宋体" w:hint="eastAsia"/>
                <w:sz w:val="24"/>
              </w:rPr>
              <w:t>，联系人：</w:t>
            </w:r>
            <w:r>
              <w:rPr>
                <w:rFonts w:ascii="宋体" w:hAnsi="宋体" w:hint="eastAsia"/>
                <w:sz w:val="24"/>
                <w:u w:val="single"/>
              </w:rPr>
              <w:t>周薇</w:t>
            </w:r>
            <w:r>
              <w:rPr>
                <w:rFonts w:ascii="宋体" w:hAnsi="宋体" w:hint="eastAsia"/>
                <w:sz w:val="24"/>
              </w:rPr>
              <w:t>，电话：</w:t>
            </w:r>
            <w:r>
              <w:rPr>
                <w:rFonts w:ascii="宋体" w:hAnsi="宋体" w:hint="eastAsia"/>
                <w:sz w:val="24"/>
                <w:u w:val="single"/>
              </w:rPr>
              <w:t>15000831715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没有足额缴纳投标保证金的，直接取消其竞标资格。投标保证金于中标通知书发出后5个工作日内返还给未中标单位，中标单位的投标保证金直接转为履约保证金，并补缴不足部分。</w:t>
            </w:r>
            <w:r>
              <w:rPr>
                <w:rFonts w:ascii="宋体" w:hAnsi="宋体" w:hint="eastAsia"/>
                <w:b/>
                <w:sz w:val="24"/>
              </w:rPr>
              <w:t>投标保证金必须从</w:t>
            </w:r>
            <w:r>
              <w:rPr>
                <w:rFonts w:ascii="宋体" w:hAnsi="宋体"/>
                <w:b/>
                <w:sz w:val="24"/>
              </w:rPr>
              <w:t>投标单位</w:t>
            </w:r>
            <w:r>
              <w:rPr>
                <w:rFonts w:ascii="宋体" w:hAnsi="宋体" w:hint="eastAsia"/>
                <w:b/>
                <w:sz w:val="24"/>
              </w:rPr>
              <w:t>基本</w:t>
            </w:r>
            <w:r>
              <w:rPr>
                <w:rFonts w:ascii="宋体" w:hAnsi="宋体"/>
                <w:b/>
                <w:sz w:val="24"/>
              </w:rPr>
              <w:t>账户</w:t>
            </w:r>
            <w:r>
              <w:rPr>
                <w:rFonts w:ascii="宋体" w:hAnsi="宋体" w:hint="eastAsia"/>
                <w:b/>
                <w:sz w:val="24"/>
              </w:rPr>
              <w:t>转出</w:t>
            </w:r>
            <w:r>
              <w:rPr>
                <w:rFonts w:ascii="宋体" w:hAnsi="宋体"/>
                <w:b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</w:rPr>
              <w:t>严禁以个人名义缴纳，造成的后果由投标人承担。如果投标单位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是一冶的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债权单位，可以找财务办理相关手续抵扣投标保证金。</w:t>
            </w:r>
          </w:p>
          <w:p w14:paraId="31947098" w14:textId="77777777" w:rsidR="00594523" w:rsidRDefault="0000198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出现下列情况，其投标保证金将被没收，并保留追究因投标人原因导致招标人损失的权利。</w:t>
            </w:r>
          </w:p>
          <w:p w14:paraId="26B056FB" w14:textId="77777777" w:rsidR="00594523" w:rsidRDefault="000019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（1）投标人在投标有效期内撤消投标文件，其投标保证金将被没收：</w:t>
            </w:r>
          </w:p>
          <w:p w14:paraId="5605AAE8" w14:textId="77777777" w:rsidR="00594523" w:rsidRDefault="000019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（2）投标人有串</w:t>
            </w:r>
            <w:proofErr w:type="gramStart"/>
            <w:r>
              <w:rPr>
                <w:rFonts w:ascii="宋体" w:hAnsi="宋体" w:hint="eastAsia"/>
                <w:sz w:val="24"/>
              </w:rPr>
              <w:t>标行为</w:t>
            </w:r>
            <w:proofErr w:type="gramEnd"/>
            <w:r>
              <w:rPr>
                <w:rFonts w:ascii="宋体" w:hAnsi="宋体" w:hint="eastAsia"/>
                <w:sz w:val="24"/>
              </w:rPr>
              <w:t>的，其投标保证金将被没收，同时否决其投标。</w:t>
            </w:r>
          </w:p>
          <w:p w14:paraId="327A6A50" w14:textId="77777777" w:rsidR="00594523" w:rsidRDefault="000019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（3）中标人未按中标通知书中规定时间与招标人</w:t>
            </w:r>
            <w:proofErr w:type="gramStart"/>
            <w:r>
              <w:rPr>
                <w:rFonts w:ascii="宋体" w:hAnsi="宋体" w:hint="eastAsia"/>
                <w:sz w:val="24"/>
              </w:rPr>
              <w:t>签定</w:t>
            </w:r>
            <w:proofErr w:type="gramEnd"/>
            <w:r>
              <w:rPr>
                <w:rFonts w:ascii="宋体" w:hAnsi="宋体" w:hint="eastAsia"/>
                <w:sz w:val="24"/>
              </w:rPr>
              <w:t>分包合同，或中标人放弃中标的，其投标保证金将被没收。</w:t>
            </w:r>
          </w:p>
          <w:p w14:paraId="1D4D4559" w14:textId="77777777" w:rsidR="00594523" w:rsidRDefault="0000198D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（4）因中标</w:t>
            </w:r>
            <w:proofErr w:type="gramStart"/>
            <w:r>
              <w:rPr>
                <w:rFonts w:ascii="宋体" w:hAnsi="宋体" w:hint="eastAsia"/>
                <w:sz w:val="24"/>
              </w:rPr>
              <w:t>人原因</w:t>
            </w:r>
            <w:proofErr w:type="gramEnd"/>
            <w:r>
              <w:rPr>
                <w:rFonts w:ascii="宋体" w:hAnsi="宋体" w:hint="eastAsia"/>
                <w:sz w:val="24"/>
              </w:rPr>
              <w:t>在签订施工分包合同前无法取得中国</w:t>
            </w:r>
            <w:proofErr w:type="gramStart"/>
            <w:r>
              <w:rPr>
                <w:rFonts w:ascii="宋体" w:hAnsi="宋体" w:hint="eastAsia"/>
                <w:sz w:val="24"/>
              </w:rPr>
              <w:t>一冶施工</w:t>
            </w:r>
            <w:proofErr w:type="gramEnd"/>
            <w:r>
              <w:rPr>
                <w:rFonts w:ascii="宋体" w:hAnsi="宋体" w:hint="eastAsia"/>
                <w:sz w:val="24"/>
              </w:rPr>
              <w:t>许可证的，取消中标资格并没收其投标保证金。</w:t>
            </w:r>
          </w:p>
          <w:p w14:paraId="386A2958" w14:textId="77777777" w:rsidR="00594523" w:rsidRDefault="000019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）其他违反国家法律法规的行为。</w:t>
            </w:r>
          </w:p>
          <w:p w14:paraId="5BC0EFC8" w14:textId="77777777" w:rsidR="00594523" w:rsidRDefault="0000198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招标人与中标人</w:t>
            </w:r>
            <w:proofErr w:type="gramStart"/>
            <w:r>
              <w:rPr>
                <w:rFonts w:ascii="宋体" w:hAnsi="宋体" w:hint="eastAsia"/>
                <w:sz w:val="24"/>
              </w:rPr>
              <w:t>签定</w:t>
            </w:r>
            <w:proofErr w:type="gramEnd"/>
            <w:r>
              <w:rPr>
                <w:rFonts w:ascii="宋体" w:hAnsi="宋体" w:hint="eastAsia"/>
                <w:sz w:val="24"/>
              </w:rPr>
              <w:t>分包合同后，未中标单位的投标保证金将无息退还给投标人。中标单位的投标保证金将转为履约保证金的一部分暂不予退还。</w:t>
            </w:r>
          </w:p>
          <w:p w14:paraId="13BBAB31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购买招标文件费用：每个标段</w:t>
            </w:r>
            <w:r>
              <w:rPr>
                <w:rFonts w:hint="eastAsia"/>
                <w:b/>
                <w:bCs/>
                <w:kern w:val="0"/>
                <w:sz w:val="24"/>
                <w:u w:val="single"/>
              </w:rPr>
              <w:t>500</w:t>
            </w:r>
            <w:r>
              <w:rPr>
                <w:b/>
                <w:bCs/>
                <w:kern w:val="0"/>
                <w:sz w:val="24"/>
              </w:rPr>
              <w:t>元人民币</w:t>
            </w:r>
          </w:p>
        </w:tc>
      </w:tr>
      <w:tr w:rsidR="00594523" w14:paraId="294B4C78" w14:textId="77777777">
        <w:trPr>
          <w:trHeight w:val="2801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0B048" w14:textId="77777777" w:rsidR="00594523" w:rsidRDefault="0000198D">
            <w:pPr>
              <w:widowControl/>
              <w:spacing w:line="8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9</w:t>
            </w:r>
          </w:p>
        </w:tc>
        <w:tc>
          <w:tcPr>
            <w:tcW w:w="85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8777E7E" w14:textId="77777777" w:rsidR="00594523" w:rsidRDefault="0000198D">
            <w:pPr>
              <w:widowControl/>
              <w:spacing w:line="800" w:lineRule="atLeas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联系方式</w:t>
            </w:r>
          </w:p>
          <w:p w14:paraId="0B3C746E" w14:textId="77777777" w:rsidR="00594523" w:rsidRDefault="0000198D">
            <w:pPr>
              <w:widowControl/>
              <w:spacing w:line="800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联系人：</w:t>
            </w:r>
            <w:r>
              <w:rPr>
                <w:rFonts w:hint="eastAsia"/>
                <w:kern w:val="0"/>
                <w:sz w:val="24"/>
              </w:rPr>
              <w:t>陈欣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联系电话：</w:t>
            </w: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kern w:val="0"/>
                <w:sz w:val="24"/>
              </w:rPr>
              <w:t>035302655</w:t>
            </w:r>
          </w:p>
        </w:tc>
      </w:tr>
    </w:tbl>
    <w:p w14:paraId="48C16D63" w14:textId="77777777" w:rsidR="00594523" w:rsidRDefault="00594523">
      <w:pPr>
        <w:widowControl/>
        <w:spacing w:line="800" w:lineRule="atLeast"/>
        <w:jc w:val="left"/>
        <w:rPr>
          <w:rFonts w:ascii="黑体" w:eastAsia="黑体" w:cs="宋体"/>
          <w:b/>
          <w:bCs/>
          <w:kern w:val="0"/>
          <w:sz w:val="28"/>
          <w:szCs w:val="28"/>
        </w:rPr>
      </w:pPr>
    </w:p>
    <w:p w14:paraId="3F8E47FB" w14:textId="77777777" w:rsidR="00594523" w:rsidRDefault="00594523">
      <w:pPr>
        <w:widowControl/>
        <w:spacing w:line="800" w:lineRule="atLeast"/>
        <w:jc w:val="left"/>
        <w:rPr>
          <w:rFonts w:ascii="黑体" w:eastAsia="黑体" w:cs="宋体"/>
          <w:b/>
          <w:bCs/>
          <w:kern w:val="0"/>
          <w:sz w:val="28"/>
          <w:szCs w:val="28"/>
        </w:rPr>
      </w:pPr>
    </w:p>
    <w:p w14:paraId="506C39EE" w14:textId="77777777" w:rsidR="00594523" w:rsidRDefault="00594523">
      <w:pPr>
        <w:widowControl/>
        <w:spacing w:line="800" w:lineRule="atLeast"/>
        <w:jc w:val="left"/>
        <w:rPr>
          <w:rFonts w:ascii="黑体" w:eastAsia="黑体" w:cs="宋体"/>
          <w:b/>
          <w:bCs/>
          <w:kern w:val="0"/>
          <w:sz w:val="28"/>
          <w:szCs w:val="28"/>
        </w:rPr>
      </w:pPr>
    </w:p>
    <w:p w14:paraId="62F73FD1" w14:textId="77777777" w:rsidR="00594523" w:rsidRDefault="00594523">
      <w:pPr>
        <w:widowControl/>
        <w:spacing w:line="800" w:lineRule="atLeast"/>
        <w:jc w:val="left"/>
        <w:rPr>
          <w:rFonts w:ascii="黑体" w:eastAsia="黑体" w:cs="宋体"/>
          <w:b/>
          <w:bCs/>
          <w:kern w:val="0"/>
          <w:sz w:val="28"/>
          <w:szCs w:val="28"/>
        </w:rPr>
      </w:pPr>
    </w:p>
    <w:p w14:paraId="42582565" w14:textId="77777777" w:rsidR="00594523" w:rsidRDefault="00594523">
      <w:pPr>
        <w:adjustRightInd w:val="0"/>
        <w:rPr>
          <w:rFonts w:ascii="仿宋_GB2312" w:eastAsia="仿宋_GB2312"/>
        </w:rPr>
      </w:pPr>
    </w:p>
    <w:sectPr w:rsidR="00594523">
      <w:headerReference w:type="default" r:id="rId7"/>
      <w:footerReference w:type="default" r:id="rId8"/>
      <w:pgSz w:w="11906" w:h="16838"/>
      <w:pgMar w:top="1418" w:right="1701" w:bottom="1418" w:left="1701" w:header="851" w:footer="850" w:gutter="0"/>
      <w:pgNumType w:fmt="decimalFullWidt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B2AB" w14:textId="77777777" w:rsidR="008B3C04" w:rsidRDefault="008B3C04">
      <w:r>
        <w:separator/>
      </w:r>
    </w:p>
  </w:endnote>
  <w:endnote w:type="continuationSeparator" w:id="0">
    <w:p w14:paraId="582D65ED" w14:textId="77777777" w:rsidR="008B3C04" w:rsidRDefault="008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F80" w14:textId="77777777" w:rsidR="00594523" w:rsidRDefault="000019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957BD" wp14:editId="2767E7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01469" w14:textId="77777777" w:rsidR="00594523" w:rsidRDefault="0000198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２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957B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" filled="f" stroked="f">
              <v:textbox style="mso-fit-shape-to-text:t" inset="0,0,0,0">
                <w:txbxContent>
                  <w:p w14:paraId="58201469" w14:textId="77777777" w:rsidR="00594523" w:rsidRDefault="0000198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２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776D" w14:textId="77777777" w:rsidR="008B3C04" w:rsidRDefault="008B3C04">
      <w:r>
        <w:separator/>
      </w:r>
    </w:p>
  </w:footnote>
  <w:footnote w:type="continuationSeparator" w:id="0">
    <w:p w14:paraId="6BF32EFB" w14:textId="77777777" w:rsidR="008B3C04" w:rsidRDefault="008B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21F5" w14:textId="77777777" w:rsidR="00594523" w:rsidRDefault="00594523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98D"/>
    <w:rsid w:val="00024F0D"/>
    <w:rsid w:val="00050860"/>
    <w:rsid w:val="000E137E"/>
    <w:rsid w:val="001345D3"/>
    <w:rsid w:val="001654F3"/>
    <w:rsid w:val="00172A27"/>
    <w:rsid w:val="001B5DE4"/>
    <w:rsid w:val="001D7446"/>
    <w:rsid w:val="001F76D6"/>
    <w:rsid w:val="00233ED9"/>
    <w:rsid w:val="00242F4A"/>
    <w:rsid w:val="00246B26"/>
    <w:rsid w:val="00264F13"/>
    <w:rsid w:val="002A2D5F"/>
    <w:rsid w:val="002E399F"/>
    <w:rsid w:val="003353A9"/>
    <w:rsid w:val="003354F8"/>
    <w:rsid w:val="00354B72"/>
    <w:rsid w:val="003636D8"/>
    <w:rsid w:val="0039320C"/>
    <w:rsid w:val="003B2ED9"/>
    <w:rsid w:val="003D2E0D"/>
    <w:rsid w:val="003D7E6D"/>
    <w:rsid w:val="004906AC"/>
    <w:rsid w:val="004D4D74"/>
    <w:rsid w:val="00551EC9"/>
    <w:rsid w:val="0055511F"/>
    <w:rsid w:val="00594523"/>
    <w:rsid w:val="005D4E36"/>
    <w:rsid w:val="005F7242"/>
    <w:rsid w:val="00627F93"/>
    <w:rsid w:val="00676D7E"/>
    <w:rsid w:val="00683C04"/>
    <w:rsid w:val="006D080C"/>
    <w:rsid w:val="006E20F7"/>
    <w:rsid w:val="00737146"/>
    <w:rsid w:val="00786D6D"/>
    <w:rsid w:val="00814C53"/>
    <w:rsid w:val="00820CE6"/>
    <w:rsid w:val="00855C18"/>
    <w:rsid w:val="00872898"/>
    <w:rsid w:val="00893C61"/>
    <w:rsid w:val="008A092E"/>
    <w:rsid w:val="008B2EA0"/>
    <w:rsid w:val="008B3C04"/>
    <w:rsid w:val="008D6A8B"/>
    <w:rsid w:val="008E60B1"/>
    <w:rsid w:val="0090722B"/>
    <w:rsid w:val="00934B76"/>
    <w:rsid w:val="009425A3"/>
    <w:rsid w:val="009577E9"/>
    <w:rsid w:val="00976F2B"/>
    <w:rsid w:val="009A291F"/>
    <w:rsid w:val="009C03A1"/>
    <w:rsid w:val="00A14529"/>
    <w:rsid w:val="00A77FAA"/>
    <w:rsid w:val="00A834D2"/>
    <w:rsid w:val="00AB20A5"/>
    <w:rsid w:val="00AC1834"/>
    <w:rsid w:val="00B6170D"/>
    <w:rsid w:val="00B715D5"/>
    <w:rsid w:val="00BC4247"/>
    <w:rsid w:val="00BD6C80"/>
    <w:rsid w:val="00BE586C"/>
    <w:rsid w:val="00C579AB"/>
    <w:rsid w:val="00CC0E23"/>
    <w:rsid w:val="00D620AE"/>
    <w:rsid w:val="00DA4CA6"/>
    <w:rsid w:val="00DA738E"/>
    <w:rsid w:val="00E234F8"/>
    <w:rsid w:val="00ED1857"/>
    <w:rsid w:val="00F049CA"/>
    <w:rsid w:val="00F37DD3"/>
    <w:rsid w:val="00F82B95"/>
    <w:rsid w:val="00FA65F0"/>
    <w:rsid w:val="00FD5E1D"/>
    <w:rsid w:val="02231E1D"/>
    <w:rsid w:val="03E55091"/>
    <w:rsid w:val="06153DF4"/>
    <w:rsid w:val="12EE561E"/>
    <w:rsid w:val="173D42E5"/>
    <w:rsid w:val="18D63F79"/>
    <w:rsid w:val="19C96BDD"/>
    <w:rsid w:val="1BBC690C"/>
    <w:rsid w:val="1F30626C"/>
    <w:rsid w:val="237E4EDC"/>
    <w:rsid w:val="2E9F526A"/>
    <w:rsid w:val="304D47E3"/>
    <w:rsid w:val="316C19F6"/>
    <w:rsid w:val="36C94227"/>
    <w:rsid w:val="3A145456"/>
    <w:rsid w:val="3CD337BB"/>
    <w:rsid w:val="400E09D3"/>
    <w:rsid w:val="40594766"/>
    <w:rsid w:val="45280426"/>
    <w:rsid w:val="45457654"/>
    <w:rsid w:val="4E614DC8"/>
    <w:rsid w:val="527E07E6"/>
    <w:rsid w:val="55842B80"/>
    <w:rsid w:val="5A3C7590"/>
    <w:rsid w:val="5A851CB8"/>
    <w:rsid w:val="5ADA62EE"/>
    <w:rsid w:val="63A03B17"/>
    <w:rsid w:val="692F6686"/>
    <w:rsid w:val="76625602"/>
    <w:rsid w:val="7A62505B"/>
    <w:rsid w:val="7D7817E3"/>
    <w:rsid w:val="7FC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14E36"/>
  <w15:docId w15:val="{28F36B0E-40D3-4F8C-A8F4-68552DD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paragraph" w:customStyle="1" w:styleId="Char">
    <w:name w:val="Char"/>
    <w:basedOn w:val="a"/>
    <w:qFormat/>
    <w:pPr>
      <w:tabs>
        <w:tab w:val="right" w:pos="-2120"/>
      </w:tabs>
      <w:snapToGrid w:val="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</dc:title>
  <dc:creator>ml</dc:creator>
  <cp:lastModifiedBy>柚 稚</cp:lastModifiedBy>
  <cp:revision>15</cp:revision>
  <cp:lastPrinted>2018-08-06T03:01:00Z</cp:lastPrinted>
  <dcterms:created xsi:type="dcterms:W3CDTF">2021-09-08T10:27:00Z</dcterms:created>
  <dcterms:modified xsi:type="dcterms:W3CDTF">2022-01-12T02:30:00Z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533A845A90CB4A38B70B2D474C93AB60</vt:lpwstr>
  </property>
</Properties>
</file>