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小标宋" w:hAnsi="宋体" w:eastAsia="小标宋"/>
          <w:b/>
          <w:sz w:val="44"/>
          <w:szCs w:val="44"/>
        </w:rPr>
      </w:pPr>
      <w:bookmarkStart w:id="21" w:name="_GoBack"/>
      <w:bookmarkEnd w:id="21"/>
      <w:r>
        <w:rPr>
          <w:rFonts w:hint="eastAsia" w:ascii="小标宋" w:hAnsi="宋体" w:eastAsia="小标宋"/>
          <w:b/>
          <w:sz w:val="44"/>
          <w:szCs w:val="44"/>
        </w:rPr>
        <w:t>招标公告</w:t>
      </w:r>
    </w:p>
    <w:p>
      <w:pPr>
        <w:spacing w:line="440" w:lineRule="exact"/>
        <w:jc w:val="center"/>
        <w:rPr>
          <w:rFonts w:ascii="仿宋" w:hAnsi="仿宋" w:eastAsia="仿宋"/>
          <w:b/>
          <w:sz w:val="28"/>
          <w:szCs w:val="44"/>
        </w:rPr>
      </w:pPr>
    </w:p>
    <w:p>
      <w:pPr>
        <w:spacing w:line="440" w:lineRule="exact"/>
        <w:jc w:val="center"/>
        <w:rPr>
          <w:rFonts w:ascii="仿宋" w:hAnsi="仿宋" w:eastAsia="仿宋"/>
          <w:sz w:val="32"/>
          <w:szCs w:val="32"/>
        </w:rPr>
      </w:pPr>
      <w:r>
        <w:rPr>
          <w:rFonts w:hint="eastAsia" w:ascii="仿宋" w:hAnsi="仿宋" w:eastAsia="仿宋"/>
          <w:szCs w:val="21"/>
        </w:rPr>
        <w:t xml:space="preserve">                                          </w:t>
      </w:r>
      <w:r>
        <w:rPr>
          <w:rFonts w:hint="eastAsia" w:ascii="仿宋" w:hAnsi="仿宋" w:eastAsia="仿宋"/>
          <w:sz w:val="32"/>
          <w:szCs w:val="32"/>
        </w:rPr>
        <w:t>业务编号：ZB/SC202</w:t>
      </w:r>
      <w:r>
        <w:rPr>
          <w:rFonts w:hint="eastAsia" w:ascii="仿宋" w:hAnsi="仿宋" w:eastAsia="仿宋"/>
          <w:sz w:val="32"/>
          <w:szCs w:val="32"/>
          <w:lang w:val="en-US" w:eastAsia="zh-CN"/>
        </w:rPr>
        <w:t>2</w:t>
      </w:r>
      <w:r>
        <w:rPr>
          <w:rFonts w:hint="eastAsia" w:ascii="仿宋" w:hAnsi="仿宋" w:eastAsia="仿宋"/>
          <w:sz w:val="32"/>
          <w:szCs w:val="32"/>
        </w:rPr>
        <w:t>-R</w:t>
      </w:r>
      <w:r>
        <w:rPr>
          <w:rFonts w:hint="eastAsia" w:ascii="仿宋" w:hAnsi="仿宋" w:eastAsia="仿宋"/>
          <w:sz w:val="32"/>
          <w:szCs w:val="32"/>
          <w:lang w:val="en-US" w:eastAsia="zh-CN"/>
        </w:rPr>
        <w:t>G142</w:t>
      </w:r>
      <w:r>
        <w:rPr>
          <w:rFonts w:hint="eastAsia" w:ascii="仿宋" w:hAnsi="仿宋" w:eastAsia="仿宋"/>
          <w:sz w:val="32"/>
          <w:szCs w:val="32"/>
        </w:rPr>
        <w:t xml:space="preserve">      </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一、招标项目内容、技术要求、计划招标时间等</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（一）招标项目名称：4#高炉自动化软件升级采购</w:t>
      </w:r>
    </w:p>
    <w:p>
      <w:pPr>
        <w:spacing w:line="440" w:lineRule="exact"/>
        <w:ind w:firstLine="640" w:firstLineChars="200"/>
        <w:rPr>
          <w:rFonts w:hint="eastAsia" w:ascii="仿宋" w:hAnsi="仿宋" w:eastAsia="仿宋" w:cs="仿宋_GB2312"/>
          <w:kern w:val="0"/>
          <w:sz w:val="32"/>
          <w:szCs w:val="32"/>
          <w:lang w:val="en-US" w:eastAsia="zh-CN"/>
        </w:rPr>
      </w:pPr>
      <w:r>
        <w:rPr>
          <w:rFonts w:hint="eastAsia" w:ascii="仿宋" w:hAnsi="仿宋" w:eastAsia="仿宋" w:cs="仿宋_GB2312"/>
          <w:kern w:val="0"/>
          <w:sz w:val="32"/>
          <w:szCs w:val="32"/>
        </w:rPr>
        <w:t>（二）招标采购数量：</w:t>
      </w:r>
      <w:r>
        <w:rPr>
          <w:rFonts w:hint="eastAsia" w:ascii="仿宋" w:hAnsi="仿宋" w:eastAsia="仿宋" w:cs="仿宋_GB2312"/>
          <w:kern w:val="0"/>
          <w:sz w:val="32"/>
          <w:szCs w:val="32"/>
          <w:lang w:val="en-US" w:eastAsia="zh-CN"/>
        </w:rPr>
        <w:t>1套</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（三）技术要求：</w:t>
      </w:r>
      <w:r>
        <w:rPr>
          <w:rFonts w:hint="eastAsia" w:ascii="仿宋" w:hAnsi="仿宋" w:eastAsia="仿宋" w:cs="仿宋_GB2312"/>
          <w:kern w:val="0"/>
          <w:sz w:val="32"/>
          <w:szCs w:val="32"/>
          <w:lang w:eastAsia="zh-CN"/>
        </w:rPr>
        <w:t>详见《技术方案》，并</w:t>
      </w:r>
      <w:r>
        <w:rPr>
          <w:rFonts w:hint="eastAsia" w:ascii="仿宋" w:hAnsi="仿宋" w:eastAsia="仿宋" w:cs="仿宋_GB2312"/>
          <w:kern w:val="0"/>
          <w:sz w:val="32"/>
          <w:szCs w:val="32"/>
        </w:rPr>
        <w:t>符合国家、行业最新标准规范，满足需方现场要求。</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（四）计划招标时间：202</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eastAsia="zh-CN"/>
        </w:rPr>
        <w:t>5</w:t>
      </w:r>
      <w:r>
        <w:rPr>
          <w:rFonts w:hint="eastAsia" w:ascii="仿宋" w:hAnsi="仿宋" w:eastAsia="仿宋" w:cs="仿宋_GB2312"/>
          <w:kern w:val="0"/>
          <w:sz w:val="32"/>
          <w:szCs w:val="32"/>
        </w:rPr>
        <w:t>月</w:t>
      </w:r>
      <w:r>
        <w:rPr>
          <w:rFonts w:hint="eastAsia" w:ascii="仿宋" w:hAnsi="仿宋" w:eastAsia="仿宋" w:cs="仿宋_GB2312"/>
          <w:kern w:val="0"/>
          <w:sz w:val="32"/>
          <w:szCs w:val="32"/>
          <w:lang w:eastAsia="zh-CN"/>
        </w:rPr>
        <w:t>下</w:t>
      </w:r>
      <w:r>
        <w:rPr>
          <w:rFonts w:hint="eastAsia" w:ascii="仿宋" w:hAnsi="仿宋" w:eastAsia="仿宋" w:cs="仿宋_GB2312"/>
          <w:kern w:val="0"/>
          <w:sz w:val="32"/>
          <w:szCs w:val="32"/>
        </w:rPr>
        <w:t>旬（具体以招标说明书为准）</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（五）报名截止时间：202</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eastAsia="zh-CN"/>
        </w:rPr>
        <w:t>5</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28</w:t>
      </w:r>
      <w:r>
        <w:rPr>
          <w:rFonts w:hint="eastAsia" w:ascii="仿宋" w:hAnsi="仿宋" w:eastAsia="仿宋" w:cs="仿宋_GB2312"/>
          <w:kern w:val="0"/>
          <w:sz w:val="32"/>
          <w:szCs w:val="32"/>
        </w:rPr>
        <w:t>日</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（六）其他：无</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二、对投标单位的资质要求：</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（一）具有独立法人资格或其他组织的中间商（成立一年以上），注册资本≥</w:t>
      </w:r>
      <w:r>
        <w:rPr>
          <w:rFonts w:hint="eastAsia" w:ascii="仿宋" w:hAnsi="仿宋" w:eastAsia="仿宋" w:cs="仿宋_GB2312"/>
          <w:kern w:val="0"/>
          <w:sz w:val="32"/>
          <w:szCs w:val="32"/>
          <w:lang w:val="en-US" w:eastAsia="zh-CN"/>
        </w:rPr>
        <w:t>5</w:t>
      </w:r>
      <w:r>
        <w:rPr>
          <w:rFonts w:hint="eastAsia" w:ascii="仿宋" w:hAnsi="仿宋" w:eastAsia="仿宋" w:cs="仿宋_GB2312"/>
          <w:kern w:val="0"/>
          <w:sz w:val="32"/>
          <w:szCs w:val="32"/>
        </w:rPr>
        <w:t>0万元。</w:t>
      </w:r>
    </w:p>
    <w:p>
      <w:pPr>
        <w:spacing w:line="44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（二）具有独立法人资格或其他组织的生产厂家。</w:t>
      </w:r>
    </w:p>
    <w:p>
      <w:pPr>
        <w:spacing w:line="440" w:lineRule="exact"/>
        <w:ind w:firstLine="640" w:firstLineChars="200"/>
        <w:rPr>
          <w:rFonts w:hint="eastAsia" w:ascii="仿宋" w:hAnsi="仿宋" w:eastAsia="仿宋" w:cs="仿宋"/>
          <w:kern w:val="2"/>
          <w:sz w:val="32"/>
          <w:szCs w:val="32"/>
          <w:lang w:val="en-US" w:eastAsia="zh-CN"/>
        </w:rPr>
      </w:pP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三</w:t>
      </w:r>
      <w:r>
        <w:rPr>
          <w:rFonts w:hint="eastAsia" w:ascii="仿宋" w:hAnsi="仿宋" w:eastAsia="仿宋" w:cs="仿宋_GB2312"/>
          <w:kern w:val="0"/>
          <w:sz w:val="32"/>
          <w:szCs w:val="32"/>
        </w:rPr>
        <w:t>）</w:t>
      </w:r>
      <w:r>
        <w:rPr>
          <w:rFonts w:hint="eastAsia" w:ascii="仿宋" w:hAnsi="仿宋" w:eastAsia="仿宋" w:cs="仿宋_GB2312"/>
          <w:kern w:val="0"/>
          <w:sz w:val="32"/>
          <w:szCs w:val="32"/>
          <w:lang w:eastAsia="zh-CN"/>
        </w:rPr>
        <w:t>投标单位需提供</w:t>
      </w:r>
      <w:r>
        <w:rPr>
          <w:rFonts w:hint="eastAsia" w:ascii="仿宋" w:hAnsi="仿宋" w:eastAsia="仿宋" w:cs="仿宋_GB2312"/>
          <w:kern w:val="0"/>
          <w:sz w:val="32"/>
          <w:szCs w:val="32"/>
          <w:lang w:val="en-US" w:eastAsia="zh-CN"/>
        </w:rPr>
        <w:t>3个及</w:t>
      </w:r>
      <w:r>
        <w:rPr>
          <w:rFonts w:hint="eastAsia" w:ascii="仿宋" w:hAnsi="仿宋" w:eastAsia="仿宋" w:cs="仿宋"/>
          <w:kern w:val="2"/>
          <w:sz w:val="32"/>
          <w:szCs w:val="32"/>
          <w:lang w:val="en-US" w:eastAsia="zh-CN"/>
        </w:rPr>
        <w:t>3个以上炼铁高炉PCS7控制软件设计和调试的业绩。</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三、拟签订合同主要条款</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交货结算方式：货到招标单位指定地点，初步验收合格入库，投标单位按招标价格开具13%增值税专用发票，发票挂账60天后招标单位以银行承兑汇票滚动支付货款。支付低于六个月承兑或银行转账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（二）交货必须附产品合格证，持入库凭证到萍乡萍钢安源钢铁有限公司</w:t>
      </w:r>
      <w:r>
        <w:rPr>
          <w:rFonts w:hint="eastAsia" w:ascii="仿宋" w:hAnsi="仿宋" w:eastAsia="仿宋" w:cs="仿宋_GB2312"/>
          <w:kern w:val="0"/>
          <w:sz w:val="32"/>
          <w:szCs w:val="32"/>
          <w:lang w:eastAsia="zh-CN"/>
        </w:rPr>
        <w:t>安源</w:t>
      </w:r>
      <w:r>
        <w:rPr>
          <w:rFonts w:hint="eastAsia" w:ascii="仿宋" w:hAnsi="仿宋" w:eastAsia="仿宋" w:cs="仿宋_GB2312"/>
          <w:kern w:val="0"/>
          <w:sz w:val="32"/>
          <w:szCs w:val="32"/>
        </w:rPr>
        <w:t>片物资仓库验收。</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四、意向投标人提交的资格证明文件</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（一）资质材料：</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1.营业执照副本复印件、开户许可证复印件，如有生产许可证、体系认证证书、特种设备制造许可证等一并附上。</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2.法定代表人和代理人身份证复印件及法定代表人授权委托书（授权书必须有法人章或签字及加盖公章）、承诺书。</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3.企业介绍</w:t>
      </w:r>
      <w:r>
        <w:rPr>
          <w:rFonts w:hint="eastAsia" w:ascii="仿宋" w:hAnsi="仿宋" w:eastAsia="仿宋" w:cs="仿宋_GB2312"/>
          <w:kern w:val="0"/>
          <w:sz w:val="32"/>
          <w:szCs w:val="32"/>
          <w:lang w:eastAsia="zh-CN"/>
        </w:rPr>
        <w:t>及业绩证明</w:t>
      </w:r>
      <w:r>
        <w:rPr>
          <w:rFonts w:hint="eastAsia" w:ascii="仿宋" w:hAnsi="仿宋" w:eastAsia="仿宋" w:cs="仿宋_GB2312"/>
          <w:kern w:val="0"/>
          <w:sz w:val="32"/>
          <w:szCs w:val="32"/>
        </w:rPr>
        <w:t>。</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4.投标单位开票信息。</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上述资料需加盖报名单位公章。 </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提交方式：发送邮件至agqhb@pxsteel.com，发邮件时请注明邮件主题名称：XXXX公司报名4#高炉自动化软件升级采购项目招标资质文件。</w:t>
      </w:r>
      <w:r>
        <w:rPr>
          <w:rFonts w:hint="eastAsia" w:ascii="仿宋" w:hAnsi="仿宋" w:eastAsia="仿宋" w:cs="仿宋_GB2312"/>
          <w:bCs/>
          <w:kern w:val="0"/>
          <w:sz w:val="32"/>
          <w:szCs w:val="32"/>
        </w:rPr>
        <w:t>网上报名如不按此要求发送邮件，招标方对邮件遗失所造成的后果不负任何责任。</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五、投标方式</w:t>
      </w:r>
    </w:p>
    <w:p>
      <w:pPr>
        <w:spacing w:line="440" w:lineRule="exact"/>
        <w:ind w:firstLine="640" w:firstLineChars="200"/>
        <w:rPr>
          <w:rFonts w:ascii="仿宋" w:hAnsi="仿宋" w:eastAsia="仿宋" w:cs="仿宋_GB2312"/>
          <w:color w:val="C00000"/>
          <w:kern w:val="0"/>
          <w:sz w:val="32"/>
          <w:szCs w:val="32"/>
        </w:rPr>
      </w:pPr>
      <w:r>
        <w:rPr>
          <w:rFonts w:hint="eastAsia" w:ascii="仿宋" w:hAnsi="仿宋" w:eastAsia="仿宋" w:cs="仿宋_GB2312"/>
          <w:kern w:val="0"/>
          <w:sz w:val="32"/>
          <w:szCs w:val="32"/>
        </w:rPr>
        <w:t>招标单位对意向投标单位提交的资质材料进行审查，向审查合格单位发出招标说明书，请接到招标说明书的单位按要求时间交纳相应投标保证金（</w:t>
      </w:r>
      <w:r>
        <w:rPr>
          <w:rFonts w:hint="eastAsia" w:ascii="仿宋" w:hAnsi="仿宋" w:eastAsia="仿宋" w:cs="仿宋_GB2312"/>
          <w:kern w:val="0"/>
          <w:sz w:val="32"/>
          <w:szCs w:val="32"/>
          <w:lang w:val="en-US" w:eastAsia="zh-CN"/>
        </w:rPr>
        <w:t>10</w:t>
      </w:r>
      <w:r>
        <w:rPr>
          <w:rFonts w:hint="eastAsia" w:ascii="仿宋" w:hAnsi="仿宋" w:eastAsia="仿宋" w:cs="仿宋_GB2312"/>
          <w:kern w:val="0"/>
          <w:sz w:val="32"/>
          <w:szCs w:val="32"/>
        </w:rPr>
        <w:t>0000元）、投标报名费（</w:t>
      </w:r>
      <w:r>
        <w:rPr>
          <w:rFonts w:hint="eastAsia" w:ascii="仿宋" w:hAnsi="仿宋" w:eastAsia="仿宋" w:cs="仿宋_GB2312"/>
          <w:kern w:val="0"/>
          <w:sz w:val="32"/>
          <w:szCs w:val="32"/>
          <w:lang w:val="en-US" w:eastAsia="zh-CN"/>
        </w:rPr>
        <w:t>5</w:t>
      </w:r>
      <w:r>
        <w:rPr>
          <w:rFonts w:hint="eastAsia" w:ascii="仿宋" w:hAnsi="仿宋" w:eastAsia="仿宋" w:cs="仿宋_GB2312"/>
          <w:kern w:val="0"/>
          <w:sz w:val="32"/>
          <w:szCs w:val="32"/>
        </w:rPr>
        <w:t>00元）等。中标单位的投标保证金自动转为履约保证金，履约保证金按标的金额的5%收取，多退少补。未中标单位的投标保证金在宣标后十五个工作日内一次性返还（无息）。开票信息如下：</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账户名称：萍乡萍钢安源钢铁有限公司</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开户行：中国建设银行股份有限公司萍乡湘东支行</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账号：36001752010052504776</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六、招标方信息 </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（一）招标单位名称：萍安钢铁设备材料公司</w:t>
      </w:r>
    </w:p>
    <w:p>
      <w:pPr>
        <w:spacing w:line="44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（二）招标项目业务负责人及联系方式：彭海春18870993466</w:t>
      </w:r>
    </w:p>
    <w:p>
      <w:pPr>
        <w:spacing w:line="44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（三）设备材料公司监督电话：</w:t>
      </w:r>
      <w:r>
        <w:rPr>
          <w:rFonts w:hint="eastAsia" w:ascii="仿宋" w:hAnsi="仿宋" w:eastAsia="仿宋" w:cs="仿宋_GB2312"/>
          <w:kern w:val="0"/>
          <w:sz w:val="32"/>
          <w:szCs w:val="32"/>
          <w:lang w:val="en-US" w:eastAsia="zh-CN"/>
        </w:rPr>
        <w:t>李</w:t>
      </w:r>
      <w:r>
        <w:rPr>
          <w:rFonts w:hint="eastAsia" w:ascii="仿宋" w:hAnsi="仿宋" w:eastAsia="仿宋" w:cs="仿宋_GB2312"/>
          <w:kern w:val="0"/>
          <w:sz w:val="32"/>
          <w:szCs w:val="32"/>
        </w:rPr>
        <w:t>先生 0799-6356077</w:t>
      </w:r>
    </w:p>
    <w:p>
      <w:pPr>
        <w:spacing w:line="44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（四）审监法务部监督电话：王先生  0799-6356116</w:t>
      </w:r>
    </w:p>
    <w:p>
      <w:pPr>
        <w:spacing w:line="440" w:lineRule="exact"/>
        <w:ind w:firstLine="640" w:firstLineChars="200"/>
        <w:rPr>
          <w:rFonts w:ascii="仿宋" w:hAnsi="仿宋" w:eastAsia="仿宋" w:cs="仿宋_GB2312"/>
          <w:kern w:val="0"/>
          <w:sz w:val="32"/>
          <w:szCs w:val="32"/>
        </w:rPr>
      </w:pPr>
    </w:p>
    <w:p>
      <w:pPr>
        <w:spacing w:line="440" w:lineRule="exact"/>
        <w:ind w:firstLine="640" w:firstLineChars="200"/>
        <w:rPr>
          <w:rFonts w:ascii="仿宋" w:hAnsi="仿宋" w:eastAsia="仿宋" w:cs="仿宋_GB2312"/>
          <w:kern w:val="0"/>
          <w:sz w:val="32"/>
          <w:szCs w:val="32"/>
        </w:rPr>
      </w:pPr>
    </w:p>
    <w:p>
      <w:pPr>
        <w:spacing w:line="44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萍乡萍钢安源钢铁有限公司</w:t>
      </w:r>
    </w:p>
    <w:p>
      <w:pPr>
        <w:snapToGrid w:val="0"/>
        <w:spacing w:line="44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公告时间：202</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年</w:t>
      </w:r>
      <w:r>
        <w:rPr>
          <w:rFonts w:hint="eastAsia" w:ascii="仿宋" w:hAnsi="仿宋" w:eastAsia="仿宋" w:cs="仿宋_GB2312"/>
          <w:kern w:val="0"/>
          <w:sz w:val="32"/>
          <w:szCs w:val="32"/>
          <w:lang w:val="en-US" w:eastAsia="zh-CN"/>
        </w:rPr>
        <w:t>5</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20</w:t>
      </w:r>
      <w:r>
        <w:rPr>
          <w:rFonts w:hint="eastAsia" w:ascii="仿宋" w:hAnsi="仿宋" w:eastAsia="仿宋" w:cs="仿宋_GB2312"/>
          <w:kern w:val="0"/>
          <w:sz w:val="32"/>
          <w:szCs w:val="32"/>
        </w:rPr>
        <w:t>日</w:t>
      </w:r>
    </w:p>
    <w:p>
      <w:pPr>
        <w:snapToGrid w:val="0"/>
        <w:spacing w:line="500" w:lineRule="exact"/>
        <w:jc w:val="center"/>
      </w:pPr>
    </w:p>
    <w:p>
      <w:pPr>
        <w:snapToGrid w:val="0"/>
        <w:spacing w:line="500" w:lineRule="exact"/>
        <w:jc w:val="center"/>
        <w:rPr>
          <w:rFonts w:ascii="小标宋" w:hAnsi="仿宋" w:eastAsia="小标宋" w:cs="黑体"/>
          <w:b/>
          <w:bCs/>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仿宋" w:eastAsia="小标宋" w:cs="黑体"/>
          <w:b/>
          <w:bCs/>
          <w:sz w:val="44"/>
          <w:szCs w:val="44"/>
        </w:rPr>
        <w:t>法人代表</w:t>
      </w:r>
      <w:r>
        <w:rPr>
          <w:rFonts w:hint="eastAsia" w:ascii="小标宋" w:hAnsi="仿宋" w:eastAsia="小标宋" w:cs="黑体"/>
          <w:b/>
          <w:bCs/>
          <w:sz w:val="44"/>
          <w:szCs w:val="44"/>
        </w:rPr>
        <w:fldChar w:fldCharType="end"/>
      </w:r>
      <w:r>
        <w:rPr>
          <w:rFonts w:hint="eastAsia" w:ascii="小标宋" w:hAnsi="仿宋" w:eastAsia="小标宋" w:cs="黑体"/>
          <w:b/>
          <w:bCs/>
          <w:sz w:val="44"/>
          <w:szCs w:val="44"/>
        </w:rPr>
        <w:t>授权书</w:t>
      </w:r>
    </w:p>
    <w:p>
      <w:pPr>
        <w:snapToGrid w:val="0"/>
        <w:spacing w:line="360" w:lineRule="exact"/>
        <w:rPr>
          <w:rFonts w:ascii="仿宋" w:hAnsi="仿宋" w:eastAsia="仿宋" w:cs="仿宋_GB2312"/>
          <w:b/>
          <w:bCs/>
          <w:sz w:val="28"/>
          <w:szCs w:val="28"/>
          <w:shd w:val="clear" w:color="auto" w:fill="FFFFFF"/>
        </w:rPr>
      </w:pPr>
    </w:p>
    <w:p>
      <w:pPr>
        <w:snapToGrid w:val="0"/>
        <w:spacing w:line="52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u w:val="single"/>
          <w:shd w:val="clear" w:color="auto" w:fill="FFFFFF"/>
          <w:lang w:val="en-US" w:eastAsia="zh-CN"/>
        </w:rPr>
        <w:t xml:space="preserve">                             </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kern w:val="0"/>
          <w:sz w:val="32"/>
          <w:szCs w:val="32"/>
        </w:rPr>
        <w:t>4#高炉自动化软件升级采购</w:t>
      </w:r>
      <w:r>
        <w:rPr>
          <w:rFonts w:hint="eastAsia" w:ascii="仿宋" w:hAnsi="仿宋" w:eastAsia="仿宋" w:cs="仿宋_GB2312"/>
          <w:sz w:val="32"/>
          <w:szCs w:val="32"/>
          <w:shd w:val="clear" w:color="auto" w:fill="FFFFFF"/>
        </w:rPr>
        <w:t>招标活动（业务编号：ZB/SC202</w:t>
      </w:r>
      <w:r>
        <w:rPr>
          <w:rFonts w:hint="eastAsia" w:ascii="仿宋" w:hAnsi="仿宋" w:eastAsia="仿宋" w:cs="仿宋_GB2312"/>
          <w:sz w:val="32"/>
          <w:szCs w:val="32"/>
          <w:shd w:val="clear" w:color="auto" w:fill="FFFFFF"/>
          <w:lang w:val="en-US" w:eastAsia="zh-CN"/>
        </w:rPr>
        <w:t>2</w:t>
      </w:r>
      <w:r>
        <w:rPr>
          <w:rFonts w:hint="eastAsia" w:ascii="仿宋" w:hAnsi="仿宋" w:eastAsia="仿宋" w:cs="仿宋_GB2312"/>
          <w:sz w:val="32"/>
          <w:szCs w:val="32"/>
          <w:shd w:val="clear" w:color="auto" w:fill="FFFFFF"/>
        </w:rPr>
        <w:t>-R</w:t>
      </w:r>
      <w:r>
        <w:rPr>
          <w:rFonts w:hint="eastAsia" w:ascii="仿宋" w:hAnsi="仿宋" w:eastAsia="仿宋" w:cs="仿宋_GB2312"/>
          <w:sz w:val="32"/>
          <w:szCs w:val="32"/>
          <w:shd w:val="clear" w:color="auto" w:fill="FFFFFF"/>
          <w:lang w:val="en-US" w:eastAsia="zh-CN"/>
        </w:rPr>
        <w:t>G142</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rPr>
        <w:t>的投标、谈判、签约等具体工作，并签署全部的有关文件、协议及合同。</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我公司对被授权人的签名负全部责任，本授权书有效期：</w:t>
      </w:r>
      <w:r>
        <w:rPr>
          <w:rFonts w:hint="eastAsia" w:ascii="仿宋" w:hAnsi="仿宋" w:eastAsia="仿宋" w:cs="微软雅黑"/>
          <w:sz w:val="32"/>
          <w:szCs w:val="32"/>
          <w:u w:val="single"/>
          <w:shd w:val="clear" w:color="auto" w:fill="FFFFFF"/>
        </w:rPr>
        <w:t>202</w:t>
      </w:r>
      <w:r>
        <w:rPr>
          <w:rFonts w:hint="eastAsia" w:ascii="仿宋" w:hAnsi="仿宋" w:eastAsia="仿宋" w:cs="微软雅黑"/>
          <w:sz w:val="32"/>
          <w:szCs w:val="32"/>
          <w:u w:val="single"/>
          <w:shd w:val="clear" w:color="auto" w:fill="FFFFFF"/>
          <w:lang w:val="en-US" w:eastAsia="zh-CN"/>
        </w:rPr>
        <w:t>2</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5</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20</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u w:val="single"/>
          <w:shd w:val="clear" w:color="auto" w:fill="FFFFFF"/>
        </w:rPr>
        <w:t>202</w:t>
      </w:r>
      <w:r>
        <w:rPr>
          <w:rFonts w:hint="eastAsia" w:ascii="仿宋" w:hAnsi="仿宋" w:eastAsia="仿宋" w:cs="微软雅黑"/>
          <w:sz w:val="32"/>
          <w:szCs w:val="32"/>
          <w:u w:val="single"/>
          <w:shd w:val="clear" w:color="auto" w:fill="FFFFFF"/>
          <w:lang w:val="en-US" w:eastAsia="zh-CN"/>
        </w:rPr>
        <w:t>3</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5</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19</w:t>
      </w:r>
      <w:r>
        <w:rPr>
          <w:rFonts w:hint="eastAsia" w:ascii="仿宋" w:hAnsi="仿宋" w:eastAsia="仿宋" w:cs="仿宋_GB2312"/>
          <w:sz w:val="32"/>
          <w:szCs w:val="32"/>
          <w:shd w:val="clear" w:color="auto" w:fill="FFFFFF"/>
        </w:rPr>
        <w:t>日。</w:t>
      </w:r>
    </w:p>
    <w:p>
      <w:pPr>
        <w:snapToGrid w:val="0"/>
        <w:spacing w:line="52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ascii="仿宋" w:hAnsi="仿宋" w:eastAsia="仿宋" w:cs="微软雅黑"/>
          <w:sz w:val="32"/>
          <w:szCs w:val="32"/>
          <w:shd w:val="clear" w:color="auto" w:fill="FFFFFF"/>
        </w:rPr>
      </w:pP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被授权人签字：</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授权人</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签章或签字</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u w:val="single"/>
          <w:shd w:val="clear" w:color="auto" w:fill="FFFFFF"/>
        </w:rPr>
        <w:t xml:space="preserve">          </w:t>
      </w:r>
    </w:p>
    <w:p>
      <w:pPr>
        <w:snapToGrid w:val="0"/>
        <w:spacing w:line="520" w:lineRule="exact"/>
        <w:ind w:left="420" w:hanging="420" w:hangingChars="200"/>
        <w:rPr>
          <w:rFonts w:hint="default" w:ascii="仿宋" w:hAnsi="仿宋" w:eastAsia="仿宋" w:cs="微软雅黑"/>
          <w:sz w:val="32"/>
          <w:szCs w:val="32"/>
          <w:u w:val="single"/>
          <w:shd w:val="clear" w:color="auto" w:fill="FFFFFF"/>
          <w:lang w:val="en-US"/>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28"/>
          <w:szCs w:val="28"/>
          <w:u w:val="single"/>
          <w:shd w:val="clear" w:color="auto" w:fill="FFFFFF"/>
          <w:lang w:val="en-US" w:eastAsia="zh-CN"/>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微软雅黑"/>
          <w:sz w:val="32"/>
          <w:szCs w:val="32"/>
          <w:shd w:val="clear" w:color="auto" w:fill="FFFFFF"/>
          <w:lang w:val="en-US" w:eastAsia="zh-CN"/>
        </w:rPr>
        <w:t xml:space="preserve">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28"/>
          <w:szCs w:val="28"/>
          <w:u w:val="single"/>
          <w:shd w:val="clear" w:color="auto" w:fill="FFFFFF"/>
          <w:lang w:val="en-US" w:eastAsia="zh-CN"/>
        </w:rPr>
        <w:t xml:space="preserve">             </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业务经理</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总经理</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lang w:val="en-US" w:eastAsia="zh-CN"/>
        </w:rPr>
        <w:t xml:space="preserve">         </w:t>
      </w:r>
    </w:p>
    <w:p>
      <w:pPr>
        <w:snapToGrid w:val="0"/>
        <w:spacing w:line="520" w:lineRule="exact"/>
        <w:ind w:firstLine="5440" w:firstLineChars="1700"/>
        <w:rPr>
          <w:rFonts w:ascii="仿宋" w:hAnsi="仿宋" w:eastAsia="仿宋" w:cs="仿宋_GB2312"/>
          <w:sz w:val="32"/>
          <w:szCs w:val="32"/>
          <w:shd w:val="clear" w:color="auto" w:fill="FFFFFF"/>
        </w:rPr>
      </w:pPr>
    </w:p>
    <w:p>
      <w:pPr>
        <w:snapToGrid w:val="0"/>
        <w:spacing w:line="500" w:lineRule="exact"/>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 xml:space="preserve">                         单位名称：</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公章</w:t>
      </w:r>
      <w:r>
        <w:rPr>
          <w:rFonts w:hint="eastAsia" w:ascii="仿宋" w:hAnsi="仿宋" w:eastAsia="仿宋" w:cs="微软雅黑"/>
          <w:sz w:val="32"/>
          <w:szCs w:val="32"/>
          <w:shd w:val="clear" w:color="auto" w:fill="FFFFFF"/>
        </w:rPr>
        <w:t>）</w:t>
      </w:r>
    </w:p>
    <w:p>
      <w:pPr>
        <w:snapToGrid w:val="0"/>
        <w:spacing w:line="500" w:lineRule="exact"/>
        <w:rPr>
          <w:rFonts w:hint="default" w:ascii="仿宋" w:hAnsi="仿宋" w:eastAsia="仿宋" w:cs="仿宋_GB2312"/>
          <w:sz w:val="32"/>
          <w:szCs w:val="32"/>
          <w:shd w:val="clear" w:color="auto" w:fill="FFFFFF"/>
          <w:lang w:val="en-US" w:eastAsia="zh-CN"/>
        </w:rPr>
      </w:pPr>
      <w:r>
        <w:rPr>
          <w:rFonts w:hint="eastAsia" w:ascii="仿宋" w:hAnsi="仿宋" w:eastAsia="仿宋" w:cs="仿宋_GB2312"/>
          <w:sz w:val="32"/>
          <w:szCs w:val="32"/>
          <w:shd w:val="clear" w:color="auto" w:fill="FFFFFF"/>
        </w:rPr>
        <w:t xml:space="preserve">                         签署日期：</w:t>
      </w:r>
      <w:r>
        <w:rPr>
          <w:rFonts w:ascii="仿宋" w:hAnsi="仿宋" w:eastAsia="仿宋" w:cs="仿宋_GB2312"/>
          <w:sz w:val="32"/>
          <w:szCs w:val="32"/>
          <w:shd w:val="clear" w:color="auto" w:fill="FFFFFF"/>
        </w:rPr>
        <w:t>202</w:t>
      </w:r>
      <w:r>
        <w:rPr>
          <w:rFonts w:hint="eastAsia" w:ascii="仿宋" w:hAnsi="仿宋" w:eastAsia="仿宋" w:cs="仿宋_GB2312"/>
          <w:sz w:val="32"/>
          <w:szCs w:val="32"/>
          <w:shd w:val="clear" w:color="auto" w:fill="FFFFFF"/>
          <w:lang w:val="en-US" w:eastAsia="zh-CN"/>
        </w:rPr>
        <w:t>2</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5</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20</w:t>
      </w:r>
    </w:p>
    <w:p>
      <w:pPr>
        <w:snapToGrid w:val="0"/>
        <w:spacing w:line="240" w:lineRule="exact"/>
        <w:ind w:firstLine="5120" w:firstLineChars="1600"/>
        <w:rPr>
          <w:rFonts w:ascii="仿宋" w:hAnsi="仿宋" w:eastAsia="仿宋"/>
          <w:sz w:val="32"/>
          <w:szCs w:val="32"/>
          <w:shd w:val="clear" w:color="auto" w:fill="FFFFFF"/>
        </w:rPr>
      </w:pPr>
    </w:p>
    <w:p>
      <w:pPr>
        <w:snapToGrid w:val="0"/>
        <w:spacing w:line="500" w:lineRule="exact"/>
        <w:jc w:val="left"/>
        <w:rPr>
          <w:rFonts w:ascii="仿宋" w:hAnsi="仿宋" w:eastAsia="仿宋" w:cs="微软雅黑"/>
          <w:sz w:val="28"/>
          <w:szCs w:val="28"/>
          <w:shd w:val="clear" w:color="auto" w:fill="FFFFFF"/>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snapToGrid w:val="0"/>
        <w:spacing w:line="500" w:lineRule="exact"/>
        <w:rPr>
          <w:rFonts w:ascii="仿宋" w:hAnsi="仿宋" w:eastAsia="仿宋" w:cs="仿宋_GB2312"/>
          <w:b/>
          <w:sz w:val="32"/>
          <w:szCs w:val="32"/>
        </w:rPr>
      </w:pPr>
    </w:p>
    <w:p>
      <w:pPr>
        <w:snapToGrid w:val="0"/>
        <w:spacing w:line="500" w:lineRule="exact"/>
        <w:jc w:val="center"/>
        <w:rPr>
          <w:rFonts w:ascii="小标宋" w:hAnsi="仿宋" w:eastAsia="小标宋" w:cs="黑体"/>
          <w:b/>
          <w:bCs/>
          <w:sz w:val="44"/>
          <w:szCs w:val="44"/>
        </w:rPr>
      </w:pPr>
      <w:r>
        <w:rPr>
          <w:rFonts w:hint="eastAsia" w:ascii="小标宋" w:hAnsi="仿宋" w:eastAsia="小标宋" w:cs="黑体"/>
          <w:b/>
          <w:bCs/>
          <w:sz w:val="44"/>
          <w:szCs w:val="44"/>
        </w:rPr>
        <w:t>承诺书</w:t>
      </w:r>
    </w:p>
    <w:p>
      <w:pPr>
        <w:snapToGrid w:val="0"/>
        <w:spacing w:line="360" w:lineRule="exact"/>
        <w:rPr>
          <w:rFonts w:ascii="仿宋" w:hAnsi="仿宋" w:eastAsia="仿宋" w:cs="仿宋_GB2312"/>
          <w:b/>
          <w:sz w:val="32"/>
          <w:szCs w:val="32"/>
        </w:rPr>
      </w:pPr>
    </w:p>
    <w:p>
      <w:pPr>
        <w:snapToGrid w:val="0"/>
        <w:spacing w:line="52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w:t>
      </w:r>
      <w:r>
        <w:rPr>
          <w:rFonts w:hint="eastAsia" w:ascii="仿宋" w:hAnsi="仿宋" w:eastAsia="仿宋" w:cs="仿宋_GB2312"/>
          <w:kern w:val="0"/>
          <w:sz w:val="32"/>
          <w:szCs w:val="32"/>
        </w:rPr>
        <w:t>4#高炉自动化软件升级采购</w:t>
      </w:r>
      <w:r>
        <w:rPr>
          <w:rFonts w:hint="eastAsia" w:ascii="仿宋" w:hAnsi="仿宋" w:eastAsia="仿宋" w:cs="仿宋_GB2312"/>
          <w:sz w:val="32"/>
          <w:szCs w:val="32"/>
        </w:rPr>
        <w:t>项目</w:t>
      </w:r>
      <w:r>
        <w:rPr>
          <w:rFonts w:hint="eastAsia" w:ascii="仿宋" w:hAnsi="仿宋" w:eastAsia="仿宋" w:cs="仿宋_GB2312"/>
          <w:sz w:val="32"/>
          <w:szCs w:val="32"/>
          <w:shd w:val="clear" w:color="auto" w:fill="FFFFFF"/>
        </w:rPr>
        <w:t>（业务编号：ZB/SC202</w:t>
      </w:r>
      <w:r>
        <w:rPr>
          <w:rFonts w:hint="eastAsia" w:ascii="仿宋" w:hAnsi="仿宋" w:eastAsia="仿宋" w:cs="仿宋_GB2312"/>
          <w:sz w:val="32"/>
          <w:szCs w:val="32"/>
          <w:shd w:val="clear" w:color="auto" w:fill="FFFFFF"/>
          <w:lang w:val="en-US" w:eastAsia="zh-CN"/>
        </w:rPr>
        <w:t>2</w:t>
      </w:r>
      <w:r>
        <w:rPr>
          <w:rFonts w:hint="eastAsia" w:ascii="仿宋" w:hAnsi="仿宋" w:eastAsia="仿宋" w:cs="仿宋_GB2312"/>
          <w:sz w:val="32"/>
          <w:szCs w:val="32"/>
          <w:shd w:val="clear" w:color="auto" w:fill="FFFFFF"/>
        </w:rPr>
        <w:t>-R</w:t>
      </w:r>
      <w:r>
        <w:rPr>
          <w:rFonts w:hint="eastAsia" w:ascii="仿宋" w:hAnsi="仿宋" w:eastAsia="仿宋" w:cs="仿宋_GB2312"/>
          <w:sz w:val="32"/>
          <w:szCs w:val="32"/>
          <w:shd w:val="clear" w:color="auto" w:fill="FFFFFF"/>
          <w:lang w:val="en-US" w:eastAsia="zh-CN"/>
        </w:rPr>
        <w:t>G142</w:t>
      </w:r>
      <w:r>
        <w:rPr>
          <w:rFonts w:ascii="仿宋" w:hAnsi="仿宋" w:eastAsia="仿宋" w:cs="仿宋_GB2312"/>
          <w:sz w:val="32"/>
          <w:szCs w:val="32"/>
          <w:shd w:val="clear" w:color="auto" w:fill="FFFFFF"/>
        </w:rPr>
        <w:t>）</w:t>
      </w:r>
      <w:r>
        <w:rPr>
          <w:rFonts w:hint="eastAsia" w:ascii="仿宋" w:hAnsi="仿宋" w:eastAsia="仿宋" w:cs="仿宋_GB2312"/>
          <w:sz w:val="32"/>
          <w:szCs w:val="32"/>
        </w:rPr>
        <w:t>的投（议）标，现承诺如下：</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一、我司将遵循公平、公正、公开及诚实信用的原则参加本项目投（议）标，理解并接受贵公司的开标、评标、定标等相关规定。</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二、我司按本项目招（议）标公告要求提供的所有法人资料及有关材料均真实有效、合法持有，不存在失效、虚假的情况。</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三、严格遵守贵司的有关规定，投（议）标中不围标、不串标、不泄标，以及不排挤其他投标人参与公平竞争。</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四、在本项目投（议）标有效期之内不撤回投标，中标后在贵司规定的期限内签订合同，全面履行合同义务。</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szCs w:val="32"/>
        </w:rPr>
        <w:t>投标或履约保证金</w:t>
      </w:r>
      <w:r>
        <w:rPr>
          <w:rFonts w:hint="eastAsia" w:ascii="仿宋" w:hAnsi="仿宋" w:eastAsia="仿宋" w:cs="仿宋_GB2312"/>
          <w:sz w:val="32"/>
          <w:szCs w:val="32"/>
        </w:rPr>
        <w:fldChar w:fldCharType="end"/>
      </w:r>
      <w:r>
        <w:rPr>
          <w:rFonts w:hint="eastAsia" w:ascii="仿宋" w:hAnsi="仿宋" w:eastAsia="仿宋" w:cs="仿宋_GB2312"/>
          <w:sz w:val="32"/>
          <w:szCs w:val="32"/>
        </w:rPr>
        <w:t>），并承担由此造成贵司的经济损失赔偿及法律责任。</w:t>
      </w:r>
    </w:p>
    <w:p>
      <w:pPr>
        <w:snapToGrid w:val="0"/>
        <w:spacing w:line="480" w:lineRule="exact"/>
        <w:ind w:firstLine="3360" w:firstLineChars="1050"/>
        <w:rPr>
          <w:rFonts w:ascii="仿宋" w:hAnsi="仿宋" w:eastAsia="仿宋" w:cs="仿宋_GB2312"/>
          <w:bCs/>
          <w:sz w:val="32"/>
          <w:szCs w:val="32"/>
        </w:rPr>
      </w:pPr>
    </w:p>
    <w:p>
      <w:pPr>
        <w:snapToGrid w:val="0"/>
        <w:spacing w:line="480" w:lineRule="exact"/>
        <w:ind w:firstLine="3360" w:firstLineChars="1050"/>
        <w:rPr>
          <w:rFonts w:ascii="仿宋" w:hAnsi="仿宋" w:eastAsia="仿宋" w:cs="仿宋_GB2312"/>
          <w:bCs/>
          <w:sz w:val="32"/>
          <w:szCs w:val="32"/>
        </w:rPr>
      </w:pP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承诺单位（公章）：</w:t>
      </w: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法定代表人或委托代理人（签名）：</w:t>
      </w:r>
    </w:p>
    <w:p>
      <w:pPr>
        <w:snapToGrid w:val="0"/>
        <w:spacing w:line="300" w:lineRule="exact"/>
        <w:ind w:firstLine="2720" w:firstLineChars="850"/>
        <w:rPr>
          <w:rFonts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r>
        <w:rPr>
          <w:rFonts w:hint="eastAsia" w:ascii="仿宋" w:hAnsi="仿宋" w:eastAsia="仿宋" w:cs="仿宋_GB2312"/>
          <w:bCs/>
          <w:sz w:val="32"/>
          <w:szCs w:val="32"/>
        </w:rPr>
        <w:t xml:space="preserve">   日期： 202</w:t>
      </w:r>
      <w:r>
        <w:rPr>
          <w:rFonts w:hint="eastAsia" w:ascii="仿宋" w:hAnsi="仿宋" w:eastAsia="仿宋" w:cs="仿宋_GB2312"/>
          <w:bCs/>
          <w:sz w:val="32"/>
          <w:szCs w:val="32"/>
          <w:lang w:val="en-US" w:eastAsia="zh-CN"/>
        </w:rPr>
        <w:t>2</w:t>
      </w:r>
      <w:r>
        <w:rPr>
          <w:rFonts w:hint="eastAsia" w:ascii="仿宋" w:hAnsi="仿宋" w:eastAsia="仿宋" w:cs="仿宋_GB2312"/>
          <w:bCs/>
          <w:sz w:val="32"/>
          <w:szCs w:val="32"/>
        </w:rPr>
        <w:t>年</w:t>
      </w:r>
      <w:r>
        <w:rPr>
          <w:rFonts w:hint="eastAsia" w:ascii="仿宋" w:hAnsi="仿宋" w:eastAsia="仿宋" w:cs="仿宋_GB2312"/>
          <w:bCs/>
          <w:sz w:val="32"/>
          <w:szCs w:val="32"/>
          <w:lang w:val="en-US" w:eastAsia="zh-CN"/>
        </w:rPr>
        <w:t>5</w:t>
      </w:r>
      <w:r>
        <w:rPr>
          <w:rFonts w:hint="eastAsia" w:ascii="仿宋" w:hAnsi="仿宋" w:eastAsia="仿宋" w:cs="仿宋_GB2312"/>
          <w:bCs/>
          <w:sz w:val="32"/>
          <w:szCs w:val="32"/>
        </w:rPr>
        <w:t>月</w:t>
      </w:r>
      <w:r>
        <w:rPr>
          <w:rFonts w:hint="eastAsia" w:ascii="仿宋" w:hAnsi="仿宋" w:eastAsia="仿宋" w:cs="仿宋_GB2312"/>
          <w:bCs/>
          <w:sz w:val="32"/>
          <w:szCs w:val="32"/>
          <w:lang w:val="en-US" w:eastAsia="zh-CN"/>
        </w:rPr>
        <w:t>20</w:t>
      </w:r>
      <w:r>
        <w:rPr>
          <w:rFonts w:hint="eastAsia" w:ascii="仿宋" w:hAnsi="仿宋" w:eastAsia="仿宋" w:cs="仿宋_GB2312"/>
          <w:bCs/>
          <w:sz w:val="32"/>
          <w:szCs w:val="32"/>
        </w:rPr>
        <w:t>日</w:t>
      </w:r>
    </w:p>
    <w:p>
      <w:pPr>
        <w:snapToGrid w:val="0"/>
        <w:spacing w:line="520" w:lineRule="exact"/>
        <w:ind w:firstLine="3360" w:firstLineChars="1050"/>
        <w:rPr>
          <w:rFonts w:hint="eastAsia"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p>
    <w:p>
      <w:pPr>
        <w:jc w:val="center"/>
        <w:rPr>
          <w:rFonts w:ascii="小标宋" w:eastAsia="小标宋" w:hAnsiTheme="minorEastAsia"/>
          <w:b/>
          <w:bCs/>
          <w:spacing w:val="30"/>
          <w:sz w:val="48"/>
          <w:szCs w:val="48"/>
        </w:rPr>
      </w:pPr>
      <w:bookmarkStart w:id="0" w:name="_Hlk26261557"/>
      <w:r>
        <w:rPr>
          <w:rFonts w:hint="eastAsia" w:ascii="小标宋" w:eastAsia="小标宋" w:hAnsiTheme="minorEastAsia"/>
          <w:b/>
          <w:bCs/>
          <w:spacing w:val="30"/>
          <w:sz w:val="48"/>
          <w:szCs w:val="48"/>
        </w:rPr>
        <w:t>萍乡萍钢安源钢铁有限公司</w:t>
      </w:r>
    </w:p>
    <w:p>
      <w:pPr>
        <w:jc w:val="center"/>
        <w:rPr>
          <w:rFonts w:ascii="小标宋" w:eastAsia="小标宋" w:hAnsiTheme="minorEastAsia"/>
          <w:b/>
          <w:bCs/>
          <w:spacing w:val="30"/>
          <w:sz w:val="48"/>
          <w:szCs w:val="48"/>
        </w:rPr>
      </w:pPr>
      <w:r>
        <w:rPr>
          <w:rFonts w:hint="eastAsia" w:ascii="小标宋" w:eastAsia="小标宋" w:hAnsiTheme="minorEastAsia"/>
          <w:b/>
          <w:bCs/>
          <w:spacing w:val="30"/>
          <w:sz w:val="48"/>
          <w:szCs w:val="48"/>
        </w:rPr>
        <w:t>4号高炉自动化软件升级改造</w:t>
      </w:r>
    </w:p>
    <w:bookmarkEnd w:id="0"/>
    <w:p>
      <w:pPr>
        <w:jc w:val="center"/>
        <w:rPr>
          <w:rFonts w:ascii="小标宋" w:eastAsia="小标宋" w:hAnsiTheme="minorEastAsia"/>
          <w:b/>
          <w:bCs/>
          <w:spacing w:val="30"/>
          <w:sz w:val="48"/>
          <w:szCs w:val="48"/>
        </w:rPr>
      </w:pPr>
    </w:p>
    <w:p>
      <w:pPr>
        <w:jc w:val="center"/>
        <w:rPr>
          <w:rFonts w:ascii="小标宋" w:eastAsia="小标宋" w:hAnsiTheme="minorEastAsia"/>
          <w:b/>
          <w:bCs/>
          <w:spacing w:val="30"/>
          <w:sz w:val="48"/>
          <w:szCs w:val="48"/>
        </w:rPr>
      </w:pPr>
    </w:p>
    <w:p>
      <w:pPr>
        <w:jc w:val="center"/>
        <w:rPr>
          <w:rFonts w:ascii="小标宋" w:eastAsia="小标宋" w:hAnsiTheme="minorEastAsia"/>
          <w:b/>
          <w:bCs/>
          <w:spacing w:val="30"/>
          <w:sz w:val="48"/>
          <w:szCs w:val="48"/>
        </w:rPr>
      </w:pPr>
      <w:r>
        <w:rPr>
          <w:rFonts w:hint="eastAsia" w:ascii="小标宋" w:eastAsia="小标宋" w:hAnsiTheme="minorEastAsia"/>
          <w:b/>
          <w:bCs/>
          <w:spacing w:val="30"/>
          <w:sz w:val="48"/>
          <w:szCs w:val="48"/>
        </w:rPr>
        <w:t>技术方案</w:t>
      </w:r>
    </w:p>
    <w:p>
      <w:pPr>
        <w:spacing w:line="360" w:lineRule="auto"/>
        <w:ind w:firstLine="2702" w:firstLineChars="500"/>
        <w:rPr>
          <w:rFonts w:asciiTheme="minorEastAsia" w:hAnsiTheme="minorEastAsia" w:eastAsiaTheme="minorEastAsia"/>
          <w:b/>
          <w:bCs/>
          <w:spacing w:val="30"/>
          <w:sz w:val="48"/>
          <w:szCs w:val="48"/>
        </w:rPr>
      </w:pPr>
    </w:p>
    <w:p>
      <w:pPr>
        <w:spacing w:line="360" w:lineRule="auto"/>
        <w:ind w:firstLine="721" w:firstLineChars="200"/>
        <w:rPr>
          <w:rFonts w:asciiTheme="minorEastAsia" w:hAnsiTheme="minorEastAsia" w:eastAsiaTheme="minorEastAsia"/>
          <w:b/>
          <w:bCs/>
          <w:spacing w:val="30"/>
          <w:sz w:val="30"/>
          <w:szCs w:val="30"/>
        </w:rPr>
      </w:pPr>
    </w:p>
    <w:p>
      <w:pPr>
        <w:spacing w:line="360" w:lineRule="auto"/>
        <w:ind w:firstLine="721" w:firstLineChars="200"/>
        <w:rPr>
          <w:rFonts w:asciiTheme="minorEastAsia" w:hAnsiTheme="minorEastAsia" w:eastAsiaTheme="minorEastAsia"/>
          <w:b/>
          <w:bCs/>
          <w:spacing w:val="30"/>
          <w:sz w:val="30"/>
          <w:szCs w:val="30"/>
        </w:rPr>
      </w:pPr>
    </w:p>
    <w:p>
      <w:pPr>
        <w:spacing w:line="360" w:lineRule="auto"/>
        <w:ind w:firstLine="721" w:firstLineChars="200"/>
        <w:rPr>
          <w:rFonts w:asciiTheme="minorEastAsia" w:hAnsiTheme="minorEastAsia" w:eastAsiaTheme="minorEastAsia"/>
          <w:b/>
          <w:bCs/>
          <w:spacing w:val="30"/>
          <w:sz w:val="30"/>
          <w:szCs w:val="30"/>
        </w:rPr>
      </w:pPr>
    </w:p>
    <w:p>
      <w:pPr>
        <w:rPr>
          <w:rFonts w:cs="Arial Unicode MS" w:asciiTheme="minorEastAsia" w:hAnsiTheme="minorEastAsia" w:eastAsiaTheme="minorEastAsia"/>
          <w:sz w:val="24"/>
        </w:rPr>
      </w:pPr>
    </w:p>
    <w:p>
      <w:pPr>
        <w:rPr>
          <w:rFonts w:cs="Arial Unicode MS" w:asciiTheme="minorEastAsia" w:hAnsiTheme="minorEastAsia" w:eastAsiaTheme="minorEastAsia"/>
          <w:sz w:val="24"/>
        </w:rPr>
      </w:pPr>
    </w:p>
    <w:p>
      <w:pPr>
        <w:rPr>
          <w:rFonts w:cs="Arial Unicode MS" w:asciiTheme="minorEastAsia" w:hAnsiTheme="minorEastAsia" w:eastAsiaTheme="minorEastAsia"/>
          <w:sz w:val="24"/>
        </w:rPr>
      </w:pPr>
    </w:p>
    <w:p>
      <w:pPr>
        <w:rPr>
          <w:rFonts w:cs="Arial Unicode MS" w:asciiTheme="minorEastAsia" w:hAnsiTheme="minorEastAsia" w:eastAsiaTheme="minorEastAsia"/>
          <w:sz w:val="24"/>
        </w:rPr>
      </w:pPr>
    </w:p>
    <w:p>
      <w:pPr>
        <w:rPr>
          <w:rFonts w:cs="Arial Unicode MS" w:asciiTheme="minorEastAsia" w:hAnsiTheme="minorEastAsia" w:eastAsiaTheme="minorEastAsia"/>
          <w:sz w:val="24"/>
        </w:rPr>
      </w:pPr>
    </w:p>
    <w:p>
      <w:pPr>
        <w:rPr>
          <w:rFonts w:cs="Arial Unicode MS" w:asciiTheme="minorEastAsia" w:hAnsiTheme="minorEastAsia" w:eastAsiaTheme="minorEastAsia"/>
          <w:sz w:val="24"/>
        </w:rPr>
      </w:pPr>
    </w:p>
    <w:p>
      <w:pPr>
        <w:rPr>
          <w:rFonts w:cs="Arial Unicode MS" w:asciiTheme="minorEastAsia" w:hAnsiTheme="minorEastAsia" w:eastAsiaTheme="minorEastAsia"/>
          <w:sz w:val="24"/>
        </w:rPr>
      </w:pPr>
    </w:p>
    <w:p>
      <w:pPr>
        <w:rPr>
          <w:rFonts w:cs="Arial Unicode MS" w:asciiTheme="minorEastAsia" w:hAnsiTheme="minorEastAsia" w:eastAsiaTheme="minorEastAsia"/>
          <w:sz w:val="24"/>
        </w:rPr>
      </w:pPr>
    </w:p>
    <w:p>
      <w:pPr>
        <w:rPr>
          <w:rFonts w:cs="Arial Unicode MS" w:asciiTheme="minorEastAsia" w:hAnsiTheme="minorEastAsia" w:eastAsiaTheme="minorEastAsia"/>
          <w:sz w:val="24"/>
        </w:rPr>
      </w:pPr>
    </w:p>
    <w:p>
      <w:pPr>
        <w:rPr>
          <w:rFonts w:cs="Arial Unicode MS" w:asciiTheme="minorEastAsia" w:hAnsiTheme="minorEastAsia" w:eastAsiaTheme="minorEastAsia"/>
          <w:sz w:val="24"/>
        </w:rPr>
      </w:pPr>
      <w:r>
        <w:rPr>
          <w:rFonts w:cs="Arial Unicode MS" w:asciiTheme="minorEastAsia" w:hAnsiTheme="minorEastAsia" w:eastAsiaTheme="minorEastAsia"/>
          <w:sz w:val="24"/>
        </w:rPr>
        <w:br w:type="page"/>
      </w:r>
    </w:p>
    <w:p>
      <w:pPr>
        <w:widowControl w:val="0"/>
        <w:ind w:firstLine="561" w:firstLineChars="200"/>
        <w:jc w:val="both"/>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一、概述</w:t>
      </w:r>
    </w:p>
    <w:p>
      <w:pPr>
        <w:ind w:firstLine="560" w:firstLineChars="200"/>
        <w:rPr>
          <w:rFonts w:asciiTheme="minorEastAsia" w:hAnsiTheme="minorEastAsia"/>
          <w:sz w:val="28"/>
          <w:szCs w:val="28"/>
        </w:rPr>
      </w:pPr>
      <w:r>
        <w:rPr>
          <w:rFonts w:hint="eastAsia" w:asciiTheme="minorEastAsia" w:hAnsiTheme="minorEastAsia"/>
          <w:sz w:val="28"/>
          <w:szCs w:val="28"/>
        </w:rPr>
        <w:t>4号高炉在2010年投产，距今已有12年。PLC主要配置为西门子S7 414-4H/414-3+ET200M，主站与IO从站之间的通讯方式为ProfibusDP通讯，与现场设备（变频器、编码器等）为总线型ProfibusDP方式。上位机软件为PCS 7 V6.0版本，采用操作员单站结构。操作站为研华工控机，操作系统Windows XP。</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随着计算机技术和工业控制技术的飞速发展，计算机操作系统、工业控制软件等不断升级，现在计算机的操作系统更新到了Microsoft Windows7/10，工业控制软件（PCS7）的版本也更新到了9.0。由于更新后的操作系统、控制系统软件也需升级，因此工控机需进行升级。</w:t>
      </w:r>
    </w:p>
    <w:p>
      <w:pPr>
        <w:ind w:firstLine="561" w:firstLineChars="200"/>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二、技术方案</w:t>
      </w:r>
    </w:p>
    <w:p>
      <w:pPr>
        <w:ind w:firstLine="561" w:firstLineChars="200"/>
        <w:rPr>
          <w:rFonts w:asciiTheme="minorEastAsia" w:hAnsiTheme="minorEastAsia" w:eastAsiaTheme="minorEastAsia"/>
          <w:b/>
          <w:kern w:val="2"/>
          <w:sz w:val="28"/>
          <w:szCs w:val="28"/>
        </w:rPr>
      </w:pPr>
      <w:r>
        <w:rPr>
          <w:rFonts w:hint="eastAsia" w:asciiTheme="minorEastAsia" w:hAnsiTheme="minorEastAsia" w:eastAsiaTheme="minorEastAsia"/>
          <w:b/>
          <w:kern w:val="2"/>
          <w:sz w:val="28"/>
          <w:szCs w:val="28"/>
        </w:rPr>
        <w:t>（一）总的要求</w:t>
      </w:r>
    </w:p>
    <w:p>
      <w:pPr>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1.此次服务项目范围包括：安源炼铁厂四号高炉矿槽、炉顶系统、高炉本体、热风炉系统、喷煤系统PLC和WinCC应用软件PCS7 V6.0升级至 PCS7 V9.0，12台操作站工控机硬件、软件同步升级，新增一台笔记本作为工程师站。</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2.乙方需充分了解四号高炉现硬件配置情况及软件问题，应用软件升级后，确保4号高炉设备应运行稳定、可靠，性能不低于原应用软件的运行效果。</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3.乙方负责设备采购、安装、调试工作。</w:t>
      </w:r>
    </w:p>
    <w:p>
      <w:pPr>
        <w:widowControl w:val="0"/>
        <w:tabs>
          <w:tab w:val="left" w:pos="1957"/>
        </w:tabs>
        <w:ind w:firstLine="561" w:firstLineChars="200"/>
        <w:rPr>
          <w:rFonts w:asciiTheme="minorEastAsia" w:hAnsiTheme="minorEastAsia" w:eastAsiaTheme="minorEastAsia"/>
          <w:b/>
          <w:bCs/>
          <w:kern w:val="2"/>
          <w:sz w:val="28"/>
          <w:szCs w:val="28"/>
        </w:rPr>
      </w:pPr>
      <w:bookmarkStart w:id="1" w:name="_Toc17378857"/>
      <w:bookmarkStart w:id="2" w:name="_Toc3124_WPSOffice_Level2"/>
      <w:bookmarkStart w:id="3" w:name="_Toc19478_WPSOffice_Level2"/>
      <w:bookmarkStart w:id="4" w:name="_Toc16588714"/>
      <w:r>
        <w:rPr>
          <w:rFonts w:hint="eastAsia" w:asciiTheme="minorEastAsia" w:hAnsiTheme="minorEastAsia" w:eastAsiaTheme="minorEastAsia"/>
          <w:b/>
          <w:bCs/>
          <w:kern w:val="2"/>
          <w:sz w:val="28"/>
          <w:szCs w:val="28"/>
        </w:rPr>
        <w:t>（二）工控机</w:t>
      </w:r>
      <w:r>
        <w:rPr>
          <w:rFonts w:asciiTheme="minorEastAsia" w:hAnsiTheme="minorEastAsia" w:eastAsiaTheme="minorEastAsia"/>
          <w:b/>
          <w:bCs/>
          <w:kern w:val="2"/>
          <w:sz w:val="28"/>
          <w:szCs w:val="28"/>
        </w:rPr>
        <w:tab/>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随着计算机技术和工业控制技术的飞速发展，计算机操作系统、工业控制软件等不断升级，现在计算机的操作系统更新到了Microsoft Windows7/10，工业控制软件（PCS7）的版本也更新到了9.0。由于更新后的操作系统、控制系统软件也需升级，因此工控机需进行升级。</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目前，4号高炉系统使用了12台工控机，其中3台上料操作工控机（CP1613网卡）、3台本体监控工控机、2台热风炉工控机（CP1613网卡）、2台喷煤制粉工控机、2台喷煤喷吹工控机。现在工控机安装的操作系统是Microsoft WindowsXP，控制软件是PCS7 V6.0。</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工控机及工程师站选用配置不低于为：CPU I7、内存16G、硬盘1T、256G固态硬盘，配24</w:t>
      </w:r>
      <w:r>
        <w:rPr>
          <w:rFonts w:hint="eastAsia" w:ascii="宋体" w:hAnsi="宋体" w:cs="宋体"/>
          <w:kern w:val="2"/>
          <w:sz w:val="28"/>
          <w:szCs w:val="28"/>
        </w:rPr>
        <w:t>"</w:t>
      </w:r>
      <w:r>
        <w:rPr>
          <w:rFonts w:hint="eastAsia" w:asciiTheme="minorEastAsia" w:hAnsiTheme="minorEastAsia" w:eastAsiaTheme="minorEastAsia"/>
          <w:kern w:val="2"/>
          <w:sz w:val="28"/>
          <w:szCs w:val="28"/>
        </w:rPr>
        <w:t>液晶显示器，带键盘、鼠标。工控机安装的操作系统不低于Microsoft Windows</w:t>
      </w:r>
      <w:r>
        <w:rPr>
          <w:rFonts w:asciiTheme="minorEastAsia" w:hAnsiTheme="minorEastAsia" w:eastAsiaTheme="minorEastAsia"/>
          <w:kern w:val="2"/>
          <w:sz w:val="28"/>
          <w:szCs w:val="28"/>
        </w:rPr>
        <w:t xml:space="preserve"> </w:t>
      </w:r>
      <w:r>
        <w:rPr>
          <w:rFonts w:hint="eastAsia" w:asciiTheme="minorEastAsia" w:hAnsiTheme="minorEastAsia" w:eastAsiaTheme="minorEastAsia"/>
          <w:kern w:val="2"/>
          <w:sz w:val="28"/>
          <w:szCs w:val="28"/>
        </w:rPr>
        <w:t>10</w:t>
      </w:r>
      <w:r>
        <w:rPr>
          <w:rFonts w:asciiTheme="minorEastAsia" w:hAnsiTheme="minorEastAsia" w:eastAsiaTheme="minorEastAsia"/>
          <w:kern w:val="2"/>
          <w:sz w:val="28"/>
          <w:szCs w:val="28"/>
        </w:rPr>
        <w:t xml:space="preserve"> professional</w:t>
      </w:r>
      <w:r>
        <w:rPr>
          <w:rFonts w:hint="eastAsia" w:asciiTheme="minorEastAsia" w:hAnsiTheme="minorEastAsia" w:eastAsiaTheme="minorEastAsia"/>
          <w:kern w:val="2"/>
          <w:sz w:val="28"/>
          <w:szCs w:val="28"/>
        </w:rPr>
        <w:t xml:space="preserve"> 英文版。</w:t>
      </w:r>
    </w:p>
    <w:p>
      <w:pPr>
        <w:widowControl w:val="0"/>
        <w:ind w:firstLine="561" w:firstLineChars="200"/>
        <w:rPr>
          <w:rFonts w:asciiTheme="minorEastAsia" w:hAnsiTheme="minorEastAsia" w:eastAsiaTheme="minorEastAsia"/>
          <w:b/>
          <w:bCs/>
          <w:kern w:val="2"/>
          <w:sz w:val="28"/>
          <w:szCs w:val="28"/>
        </w:rPr>
      </w:pPr>
      <w:r>
        <w:rPr>
          <w:rFonts w:hint="eastAsia" w:asciiTheme="minorEastAsia" w:hAnsiTheme="minorEastAsia" w:eastAsiaTheme="minorEastAsia"/>
          <w:b/>
          <w:bCs/>
          <w:kern w:val="2"/>
          <w:sz w:val="28"/>
          <w:szCs w:val="28"/>
        </w:rPr>
        <w:t>（三）控制系统软件更新</w:t>
      </w:r>
      <w:bookmarkEnd w:id="1"/>
      <w:bookmarkEnd w:id="2"/>
      <w:bookmarkEnd w:id="3"/>
      <w:bookmarkEnd w:id="4"/>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1.原控制系统版本为PCS7 V6.0，需更新至PCS7 V9.0 SP2版本，并带授权。上位机架构采用操作员单站结构。新增1台笔记本作为工程师站，配置工程师站授权，其他12台工控机作为上位机使用，配置操作员单站授权。</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2.控制系统软件升级后，4号高炉的PLC程序、上位机监控画面在原有应用软件的基础上升级，并适应新的硬件和控制系统软件。</w:t>
      </w:r>
    </w:p>
    <w:p>
      <w:pPr>
        <w:widowControl w:val="0"/>
        <w:ind w:firstLine="560" w:firstLineChars="200"/>
        <w:rPr>
          <w:rFonts w:asciiTheme="minorEastAsia" w:hAnsiTheme="minorEastAsia" w:eastAsiaTheme="minorEastAsia"/>
          <w:kern w:val="2"/>
          <w:sz w:val="28"/>
          <w:szCs w:val="28"/>
        </w:rPr>
      </w:pPr>
      <w:r>
        <w:rPr>
          <w:rFonts w:asciiTheme="minorEastAsia" w:hAnsiTheme="minorEastAsia" w:eastAsiaTheme="minorEastAsia"/>
          <w:kern w:val="2"/>
          <w:sz w:val="28"/>
          <w:szCs w:val="28"/>
        </w:rPr>
        <w:t>3</w:t>
      </w:r>
      <w:r>
        <w:rPr>
          <w:rFonts w:hint="eastAsia" w:asciiTheme="minorEastAsia" w:hAnsiTheme="minorEastAsia" w:eastAsiaTheme="minorEastAsia"/>
          <w:kern w:val="2"/>
          <w:sz w:val="28"/>
          <w:szCs w:val="28"/>
        </w:rPr>
        <w:t>.软件功能升级，升级内容为：</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（1）热风炉系统程序优化</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增加热风炉自动烧炉，根据设定的空气流量和空燃比，自动调节支管的调节阀。</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热风炉自动模式出现信号故障时，切换手动动作后再切回自动时，会出现误动作，程序需优化修改。</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4</w:t>
      </w:r>
      <w:r>
        <w:rPr>
          <w:rFonts w:hint="eastAsia" w:asciiTheme="minorEastAsia" w:hAnsiTheme="minorEastAsia" w:eastAsiaTheme="minorEastAsia"/>
          <w:kern w:val="2"/>
          <w:sz w:val="28"/>
          <w:szCs w:val="28"/>
          <w:vertAlign w:val="superscript"/>
        </w:rPr>
        <w:t>#</w:t>
      </w:r>
      <w:r>
        <w:rPr>
          <w:rFonts w:hint="eastAsia" w:asciiTheme="minorEastAsia" w:hAnsiTheme="minorEastAsia" w:eastAsiaTheme="minorEastAsia"/>
          <w:kern w:val="2"/>
          <w:sz w:val="28"/>
          <w:szCs w:val="28"/>
        </w:rPr>
        <w:t>高炉布袋除尘控制画面与热风炉画面合并。</w:t>
      </w:r>
    </w:p>
    <w:p>
      <w:pPr>
        <w:widowControl w:val="0"/>
        <w:spacing w:line="520" w:lineRule="exact"/>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（2）槽下系统程序优化</w:t>
      </w:r>
    </w:p>
    <w:p>
      <w:pPr>
        <w:widowControl w:val="0"/>
        <w:spacing w:line="520" w:lineRule="exact"/>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焦炭仓单仓顺序给料实现多选同时给料。</w:t>
      </w:r>
    </w:p>
    <w:p>
      <w:pPr>
        <w:widowControl w:val="0"/>
        <w:spacing w:line="520" w:lineRule="exact"/>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（3）炉顶系统程序优化</w:t>
      </w:r>
    </w:p>
    <w:p>
      <w:pPr>
        <w:widowControl w:val="0"/>
        <w:spacing w:line="520" w:lineRule="exact"/>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炉顶增加从站，从站负责炉顶编码器通讯, 将编码器和变频器的DP网分开（甲方负责所需硬件）。</w:t>
      </w:r>
    </w:p>
    <w:p>
      <w:pPr>
        <w:widowControl w:val="0"/>
        <w:spacing w:line="520" w:lineRule="exact"/>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比例阀增加备用控制系统（程序）。</w:t>
      </w:r>
    </w:p>
    <w:p>
      <w:pPr>
        <w:widowControl w:val="0"/>
        <w:spacing w:line="520" w:lineRule="exact"/>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炉顶打水系统画面与高炉本体画面合并。</w:t>
      </w:r>
    </w:p>
    <w:p>
      <w:pPr>
        <w:widowControl w:val="0"/>
        <w:spacing w:line="520" w:lineRule="exact"/>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（4）喷煤系统程序优化</w:t>
      </w:r>
    </w:p>
    <w:p>
      <w:pPr>
        <w:widowControl w:val="0"/>
        <w:spacing w:line="520" w:lineRule="exact"/>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增加喷吹量自动调节，根据设定值，自动调节压力，控制喷吹量稳定。</w:t>
      </w:r>
    </w:p>
    <w:p>
      <w:pPr>
        <w:widowControl w:val="0"/>
        <w:spacing w:line="520" w:lineRule="exact"/>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（5）4</w:t>
      </w:r>
      <w:r>
        <w:rPr>
          <w:rFonts w:hint="eastAsia" w:asciiTheme="minorEastAsia" w:hAnsiTheme="minorEastAsia" w:eastAsiaTheme="minorEastAsia"/>
          <w:kern w:val="2"/>
          <w:sz w:val="28"/>
          <w:szCs w:val="28"/>
          <w:vertAlign w:val="superscript"/>
        </w:rPr>
        <w:t>#</w:t>
      </w:r>
      <w:r>
        <w:rPr>
          <w:rFonts w:hint="eastAsia" w:asciiTheme="minorEastAsia" w:hAnsiTheme="minorEastAsia" w:eastAsiaTheme="minorEastAsia"/>
          <w:kern w:val="2"/>
          <w:sz w:val="28"/>
          <w:szCs w:val="28"/>
        </w:rPr>
        <w:t>高炉TRT系统与4</w:t>
      </w:r>
      <w:r>
        <w:rPr>
          <w:rFonts w:hint="eastAsia" w:asciiTheme="minorEastAsia" w:hAnsiTheme="minorEastAsia" w:eastAsiaTheme="minorEastAsia"/>
          <w:kern w:val="2"/>
          <w:sz w:val="28"/>
          <w:szCs w:val="28"/>
          <w:vertAlign w:val="superscript"/>
        </w:rPr>
        <w:t>#</w:t>
      </w:r>
      <w:r>
        <w:rPr>
          <w:rFonts w:hint="eastAsia" w:asciiTheme="minorEastAsia" w:hAnsiTheme="minorEastAsia" w:eastAsiaTheme="minorEastAsia"/>
          <w:kern w:val="2"/>
          <w:sz w:val="28"/>
          <w:szCs w:val="28"/>
        </w:rPr>
        <w:t>高炉系统网络组态。（甲方负责网络打通，并提供TRT相关程序，乙方负责组态网络）</w:t>
      </w:r>
    </w:p>
    <w:p>
      <w:pPr>
        <w:widowControl w:val="0"/>
        <w:ind w:firstLine="561" w:firstLineChars="200"/>
        <w:rPr>
          <w:rFonts w:asciiTheme="minorEastAsia" w:hAnsiTheme="minorEastAsia" w:eastAsiaTheme="minorEastAsia"/>
          <w:b/>
          <w:bCs/>
          <w:kern w:val="2"/>
          <w:sz w:val="28"/>
          <w:szCs w:val="28"/>
        </w:rPr>
      </w:pPr>
      <w:r>
        <w:rPr>
          <w:rFonts w:hint="eastAsia" w:asciiTheme="minorEastAsia" w:hAnsiTheme="minorEastAsia" w:eastAsiaTheme="minorEastAsia"/>
          <w:b/>
          <w:bCs/>
          <w:kern w:val="2"/>
          <w:sz w:val="28"/>
          <w:szCs w:val="28"/>
        </w:rPr>
        <w:t>三、安装调试要求</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本次升级改造项目计划利用4号高炉大修同步进行。</w:t>
      </w:r>
    </w:p>
    <w:p>
      <w:pPr>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bCs/>
          <w:kern w:val="2"/>
          <w:sz w:val="28"/>
          <w:szCs w:val="28"/>
        </w:rPr>
        <w:t>自动化升级改造应满足国家产业政策、相关法律法规要求和国家环保政策的要求，在设计、生产原则上以安全、实用、可靠为准，满足工艺要求，达到同期先进水平。</w:t>
      </w:r>
    </w:p>
    <w:p>
      <w:pPr>
        <w:widowControl w:val="0"/>
        <w:ind w:firstLine="561" w:firstLineChars="200"/>
        <w:rPr>
          <w:rFonts w:asciiTheme="minorEastAsia" w:hAnsiTheme="minorEastAsia" w:eastAsiaTheme="minorEastAsia"/>
          <w:b/>
          <w:bCs/>
          <w:kern w:val="2"/>
          <w:sz w:val="28"/>
          <w:szCs w:val="28"/>
        </w:rPr>
      </w:pPr>
      <w:bookmarkStart w:id="5" w:name="_Toc3330_WPSOffice_Level1"/>
      <w:bookmarkStart w:id="6" w:name="_Toc18016_WPSOffice_Level1"/>
      <w:bookmarkStart w:id="7" w:name="_Toc16588718"/>
      <w:bookmarkStart w:id="8" w:name="_Toc17378861"/>
      <w:r>
        <w:rPr>
          <w:rFonts w:hint="eastAsia" w:asciiTheme="minorEastAsia" w:hAnsiTheme="minorEastAsia" w:eastAsiaTheme="minorEastAsia"/>
          <w:b/>
          <w:bCs/>
          <w:kern w:val="2"/>
          <w:sz w:val="28"/>
          <w:szCs w:val="28"/>
        </w:rPr>
        <w:t>四、 技术服务</w:t>
      </w:r>
      <w:bookmarkEnd w:id="5"/>
      <w:bookmarkEnd w:id="6"/>
      <w:bookmarkEnd w:id="7"/>
      <w:bookmarkEnd w:id="8"/>
    </w:p>
    <w:p>
      <w:pPr>
        <w:widowControl w:val="0"/>
        <w:ind w:firstLine="561" w:firstLineChars="200"/>
        <w:rPr>
          <w:rFonts w:asciiTheme="minorEastAsia" w:hAnsiTheme="minorEastAsia" w:eastAsiaTheme="minorEastAsia"/>
          <w:b/>
          <w:bCs/>
          <w:kern w:val="2"/>
          <w:sz w:val="28"/>
          <w:szCs w:val="28"/>
        </w:rPr>
      </w:pPr>
      <w:bookmarkStart w:id="9" w:name="_Toc14940_WPSOffice_Level2"/>
      <w:bookmarkStart w:id="10" w:name="_Toc17378862"/>
      <w:bookmarkStart w:id="11" w:name="_Toc16588719"/>
      <w:bookmarkStart w:id="12" w:name="_Toc14145_WPSOffice_Level2"/>
      <w:r>
        <w:rPr>
          <w:rFonts w:hint="eastAsia" w:asciiTheme="minorEastAsia" w:hAnsiTheme="minorEastAsia" w:eastAsiaTheme="minorEastAsia"/>
          <w:b/>
          <w:bCs/>
          <w:kern w:val="2"/>
          <w:sz w:val="28"/>
          <w:szCs w:val="28"/>
        </w:rPr>
        <w:t>4.1 技术培训</w:t>
      </w:r>
      <w:bookmarkEnd w:id="9"/>
      <w:bookmarkEnd w:id="10"/>
      <w:bookmarkEnd w:id="11"/>
      <w:bookmarkEnd w:id="12"/>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在调试期间，乙方提交操作说明，供操作人员熟悉上位机软件操作。在高炉投产前，配合业主安排操作人员岗位培训及维护人员培训。</w:t>
      </w:r>
    </w:p>
    <w:p>
      <w:pPr>
        <w:widowControl w:val="0"/>
        <w:ind w:firstLine="561" w:firstLineChars="200"/>
        <w:rPr>
          <w:rFonts w:asciiTheme="minorEastAsia" w:hAnsiTheme="minorEastAsia" w:eastAsiaTheme="minorEastAsia"/>
          <w:b/>
          <w:bCs/>
          <w:kern w:val="2"/>
          <w:sz w:val="28"/>
          <w:szCs w:val="28"/>
        </w:rPr>
      </w:pPr>
      <w:r>
        <w:rPr>
          <w:rFonts w:hint="eastAsia" w:asciiTheme="minorEastAsia" w:hAnsiTheme="minorEastAsia" w:eastAsiaTheme="minorEastAsia"/>
          <w:b/>
          <w:bCs/>
          <w:kern w:val="2"/>
          <w:sz w:val="28"/>
          <w:szCs w:val="28"/>
        </w:rPr>
        <w:t>4.2 技术资料</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在调试后，乙方提交给甲方PLC程序文件、上位机监控画面、软件、等技术资料。</w:t>
      </w:r>
    </w:p>
    <w:p>
      <w:pPr>
        <w:widowControl w:val="0"/>
        <w:ind w:firstLine="561" w:firstLineChars="200"/>
        <w:rPr>
          <w:rFonts w:asciiTheme="minorEastAsia" w:hAnsiTheme="minorEastAsia" w:eastAsiaTheme="minorEastAsia"/>
          <w:b/>
          <w:bCs/>
          <w:kern w:val="2"/>
          <w:sz w:val="28"/>
          <w:szCs w:val="28"/>
        </w:rPr>
      </w:pPr>
      <w:bookmarkStart w:id="13" w:name="_Toc25566_WPSOffice_Level2"/>
      <w:bookmarkStart w:id="14" w:name="_Toc16588720"/>
      <w:bookmarkStart w:id="15" w:name="_Toc27499_WPSOffice_Level2"/>
      <w:bookmarkStart w:id="16" w:name="_Toc17378863"/>
      <w:r>
        <w:rPr>
          <w:rFonts w:hint="eastAsia" w:asciiTheme="minorEastAsia" w:hAnsiTheme="minorEastAsia" w:eastAsiaTheme="minorEastAsia"/>
          <w:b/>
          <w:bCs/>
          <w:kern w:val="2"/>
          <w:sz w:val="28"/>
          <w:szCs w:val="28"/>
        </w:rPr>
        <w:t>4.3 技术服务</w:t>
      </w:r>
      <w:bookmarkEnd w:id="13"/>
      <w:bookmarkEnd w:id="14"/>
      <w:bookmarkEnd w:id="15"/>
      <w:bookmarkEnd w:id="16"/>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(1)为使现场的设备安装和调试工作顺利进行，乙方派遣专业技术熟练、身体健康且富有实际经验的工程师到甲方的设备安装现场进行现场技术服务,调试期间至少两名技术人员常驻现场。</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(2)甲方负责相关设备的施工、安装，乙方负责自动化设备上电、调试及网络调试，并负责配合进行打点试车等工作以及与变频器、编码器网络通讯的调试。现场编程调试人员秉承友好协商和实事求是的精神，通过沟通、协调及合作，确保自动化设备的安装、调试及性能，保证调试工作顺利进行。</w:t>
      </w:r>
    </w:p>
    <w:p>
      <w:pPr>
        <w:widowControl w:val="0"/>
        <w:ind w:firstLine="561" w:firstLineChars="200"/>
        <w:rPr>
          <w:rFonts w:asciiTheme="minorEastAsia" w:hAnsiTheme="minorEastAsia" w:eastAsiaTheme="minorEastAsia"/>
          <w:b/>
          <w:bCs/>
          <w:kern w:val="2"/>
          <w:sz w:val="28"/>
          <w:szCs w:val="28"/>
        </w:rPr>
      </w:pPr>
      <w:bookmarkStart w:id="17" w:name="_Toc19363_WPSOffice_Level2"/>
      <w:bookmarkStart w:id="18" w:name="_Toc17378864"/>
      <w:bookmarkStart w:id="19" w:name="_Toc28775_WPSOffice_Level2"/>
      <w:bookmarkStart w:id="20" w:name="_Toc16588721"/>
      <w:r>
        <w:rPr>
          <w:rFonts w:hint="eastAsia" w:asciiTheme="minorEastAsia" w:hAnsiTheme="minorEastAsia" w:eastAsiaTheme="minorEastAsia"/>
          <w:b/>
          <w:bCs/>
          <w:kern w:val="2"/>
          <w:sz w:val="28"/>
          <w:szCs w:val="28"/>
        </w:rPr>
        <w:t>4.4 售后服务</w:t>
      </w:r>
      <w:bookmarkEnd w:id="17"/>
      <w:bookmarkEnd w:id="18"/>
      <w:bookmarkEnd w:id="19"/>
      <w:bookmarkEnd w:id="20"/>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投产热试成功后，调试工作结束。投产后保产时间不少于7天。调试结束后一年内为售后服务期。</w:t>
      </w:r>
    </w:p>
    <w:p>
      <w:pPr>
        <w:widowControl w:val="0"/>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一般问题通过热线电话随时提供技术咨询，指导处理。对于维护人员无法解决的问题，紧急情况下由乙方人员到现场处理的问题，保证48小时内到达现场，节假日同样。</w:t>
      </w:r>
    </w:p>
    <w:p>
      <w:pPr>
        <w:spacing w:line="360" w:lineRule="auto"/>
        <w:rPr>
          <w:rFonts w:asciiTheme="minorEastAsia" w:hAnsiTheme="minorEastAsia" w:eastAsiaTheme="minorEastAsia"/>
          <w:sz w:val="24"/>
        </w:rPr>
      </w:pPr>
    </w:p>
    <w:p/>
    <w:p>
      <w:pPr>
        <w:snapToGrid w:val="0"/>
        <w:spacing w:line="520" w:lineRule="exact"/>
        <w:ind w:firstLine="3360" w:firstLineChars="1050"/>
        <w:rPr>
          <w:rFonts w:hint="eastAsia" w:ascii="仿宋" w:hAnsi="仿宋" w:eastAsia="仿宋" w:cs="仿宋_GB2312"/>
          <w:bCs/>
          <w:sz w:val="32"/>
          <w:szCs w:val="32"/>
        </w:rPr>
      </w:pPr>
    </w:p>
    <w:sectPr>
      <w:pgSz w:w="11906" w:h="16838"/>
      <w:pgMar w:top="1157"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小标宋">
    <w:altName w:val="汉仪书宋二KW"/>
    <w:panose1 w:val="03000509000000000000"/>
    <w:charset w:val="86"/>
    <w:family w:val="script"/>
    <w:pitch w:val="default"/>
    <w:sig w:usb0="00000000" w:usb1="00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汉仪中黑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Arial Unicode MS">
    <w:panose1 w:val="020B0604020202020204"/>
    <w:charset w:val="86"/>
    <w:family w:val="roman"/>
    <w:pitch w:val="default"/>
    <w:sig w:usb0="00000000" w:usb1="00000000" w:usb2="00000000" w:usb3="00000000" w:csb0="003E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MTU2OTIxN2RhNDA3OTEwZDZmYTlhZDRhNDBlZmQifQ=="/>
  </w:docVars>
  <w:rsids>
    <w:rsidRoot w:val="00D17D7B"/>
    <w:rsid w:val="000372DC"/>
    <w:rsid w:val="001058AB"/>
    <w:rsid w:val="00127D5E"/>
    <w:rsid w:val="002F72B4"/>
    <w:rsid w:val="004D256A"/>
    <w:rsid w:val="005525AA"/>
    <w:rsid w:val="00590D85"/>
    <w:rsid w:val="007B3191"/>
    <w:rsid w:val="009000A7"/>
    <w:rsid w:val="00954380"/>
    <w:rsid w:val="0096599E"/>
    <w:rsid w:val="00A24A4F"/>
    <w:rsid w:val="00BD21EB"/>
    <w:rsid w:val="00CE57CE"/>
    <w:rsid w:val="00CE5D31"/>
    <w:rsid w:val="00D175B0"/>
    <w:rsid w:val="00D17D7B"/>
    <w:rsid w:val="00D84765"/>
    <w:rsid w:val="00F02F3B"/>
    <w:rsid w:val="00F24959"/>
    <w:rsid w:val="0F3351BB"/>
    <w:rsid w:val="15B14D7D"/>
    <w:rsid w:val="1A682168"/>
    <w:rsid w:val="1F4B31AE"/>
    <w:rsid w:val="2BBF198C"/>
    <w:rsid w:val="375A4F1E"/>
    <w:rsid w:val="480D6DF5"/>
    <w:rsid w:val="4A4F5763"/>
    <w:rsid w:val="54F03320"/>
    <w:rsid w:val="67D16E5B"/>
    <w:rsid w:val="688211FC"/>
    <w:rsid w:val="6DF636C8"/>
    <w:rsid w:val="6F827B34"/>
    <w:rsid w:val="7D530807"/>
    <w:rsid w:val="DEFB5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rFonts w:ascii="Times New Roman" w:hAnsi="Times New Roman" w:eastAsia="宋体" w:cs="Times New Roman"/>
      <w:sz w:val="18"/>
      <w:szCs w:val="18"/>
    </w:rPr>
  </w:style>
  <w:style w:type="character" w:customStyle="1" w:styleId="10">
    <w:name w:val="页脚 Char"/>
    <w:basedOn w:val="6"/>
    <w:link w:val="2"/>
    <w:semiHidden/>
    <w:qFormat/>
    <w:uiPriority w:val="99"/>
    <w:rPr>
      <w:rFonts w:ascii="Times New Roman" w:hAnsi="Times New Roman" w:eastAsia="宋体" w:cs="Times New Roman"/>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13">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
    <w:name w:val="xl67"/>
    <w:basedOn w:val="1"/>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16">
    <w:name w:val="xl68"/>
    <w:basedOn w:val="1"/>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2271</Words>
  <Characters>2566</Characters>
  <Lines>18</Lines>
  <Paragraphs>5</Paragraphs>
  <TotalTime>66</TotalTime>
  <ScaleCrop>false</ScaleCrop>
  <LinksUpToDate>false</LinksUpToDate>
  <CharactersWithSpaces>2869</CharactersWithSpaces>
  <Application>WPS Office_4.2.0.6720_F1E327BC-269C-435d-A152-05C5408002CA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2021-11-18T14:29:00Z</dcterms:created>
  <dc:creator>彭海春</dc:creator>
  <cp:lastModifiedBy>WPS_1650608951</cp:lastModifiedBy>
  <cp:lastPrinted>2022-05-20T16:09:00Z</cp:lastPrinted>
  <dcterms:modified xsi:type="dcterms:W3CDTF">2022-05-20T17:51:19Z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2052-4.2.0.6720</vt:lpwstr>
  </property>
  <property fmtid="{D5CDD505-2E9C-101B-9397-08002B2CF9AE}" pid="3" name="ICV">
    <vt:lpwstr>264743CDE6B4D135976487621027F7DD</vt:lpwstr>
  </property>
</Properties>
</file>